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198522" w14:textId="77777777" w:rsidR="004E3648" w:rsidRDefault="004E3648">
      <w:pPr>
        <w:pStyle w:val="TOCHeading"/>
      </w:pPr>
    </w:p>
    <w:p w14:paraId="01D785FF" w14:textId="35E0C468" w:rsidR="004460A2" w:rsidRPr="00F500AB" w:rsidRDefault="004E3648" w:rsidP="00CD5AEF">
      <w:pPr>
        <w:pStyle w:val="Title"/>
      </w:pPr>
      <w:r w:rsidRPr="00F500AB">
        <w:t>Guidelines</w:t>
      </w:r>
      <w:r w:rsidR="004460A2" w:rsidRPr="00F500AB">
        <w:t xml:space="preserve"> </w:t>
      </w:r>
      <w:r w:rsidRPr="00F500AB">
        <w:t xml:space="preserve">for </w:t>
      </w:r>
      <w:r w:rsidR="004460A2" w:rsidRPr="00F500AB">
        <w:t>m</w:t>
      </w:r>
      <w:r w:rsidRPr="00F500AB">
        <w:t>anagement</w:t>
      </w:r>
      <w:r w:rsidR="004460A2" w:rsidRPr="00F500AB">
        <w:t xml:space="preserve"> </w:t>
      </w:r>
      <w:r w:rsidRPr="00F500AB">
        <w:t>of an</w:t>
      </w:r>
      <w:r w:rsidR="004460A2" w:rsidRPr="00F500AB">
        <w:t xml:space="preserve"> e</w:t>
      </w:r>
      <w:r w:rsidRPr="00F500AB">
        <w:t xml:space="preserve">mergency </w:t>
      </w:r>
      <w:r w:rsidR="004460A2" w:rsidRPr="00F500AB">
        <w:t>w</w:t>
      </w:r>
      <w:r w:rsidRPr="00F500AB">
        <w:t xml:space="preserve">ildlife </w:t>
      </w:r>
      <w:r w:rsidR="004460A2" w:rsidRPr="00F500AB">
        <w:t>d</w:t>
      </w:r>
      <w:r w:rsidRPr="00F500AB">
        <w:t>isease</w:t>
      </w:r>
      <w:r w:rsidR="004460A2" w:rsidRPr="00F500AB">
        <w:t xml:space="preserve"> r</w:t>
      </w:r>
      <w:r w:rsidR="00F17F22" w:rsidRPr="00F500AB">
        <w:t>esponse</w:t>
      </w:r>
    </w:p>
    <w:p w14:paraId="02255EDC" w14:textId="6EB4C555" w:rsidR="0032410E" w:rsidRDefault="0032410E" w:rsidP="002117C7">
      <w:pPr>
        <w:rPr>
          <w:rFonts w:eastAsiaTheme="majorEastAsia" w:cstheme="majorBidi"/>
          <w:bCs/>
          <w:color w:val="2F5496" w:themeColor="accent1" w:themeShade="BF"/>
          <w:sz w:val="40"/>
          <w:szCs w:val="40"/>
        </w:rPr>
      </w:pPr>
    </w:p>
    <w:p w14:paraId="28033C8D" w14:textId="1F36C291" w:rsidR="0032410E" w:rsidRDefault="0032410E" w:rsidP="002117C7">
      <w:pPr>
        <w:rPr>
          <w:rFonts w:eastAsiaTheme="majorEastAsia" w:cstheme="majorBidi"/>
          <w:bCs/>
          <w:color w:val="2F5496" w:themeColor="accent1" w:themeShade="BF"/>
          <w:sz w:val="40"/>
          <w:szCs w:val="40"/>
        </w:rPr>
      </w:pPr>
    </w:p>
    <w:p w14:paraId="32AC1766" w14:textId="144E4B07" w:rsidR="0032410E" w:rsidRDefault="0032410E" w:rsidP="002117C7">
      <w:pPr>
        <w:rPr>
          <w:rFonts w:eastAsiaTheme="majorEastAsia" w:cstheme="majorBidi"/>
          <w:bCs/>
          <w:color w:val="2F5496" w:themeColor="accent1" w:themeShade="BF"/>
          <w:sz w:val="40"/>
          <w:szCs w:val="40"/>
        </w:rPr>
      </w:pPr>
    </w:p>
    <w:p w14:paraId="230EFB10" w14:textId="10C255DA" w:rsidR="00964ABE" w:rsidRDefault="00964ABE" w:rsidP="002117C7">
      <w:pPr>
        <w:rPr>
          <w:rFonts w:eastAsiaTheme="majorEastAsia" w:cstheme="majorBidi"/>
          <w:bCs/>
          <w:color w:val="2F5496" w:themeColor="accent1" w:themeShade="BF"/>
          <w:sz w:val="40"/>
          <w:szCs w:val="40"/>
        </w:rPr>
      </w:pPr>
    </w:p>
    <w:p w14:paraId="1ECEFFE9" w14:textId="063C59A0" w:rsidR="0032410E" w:rsidRDefault="0032410E" w:rsidP="002117C7">
      <w:pPr>
        <w:rPr>
          <w:rFonts w:eastAsiaTheme="majorEastAsia" w:cstheme="majorBidi"/>
          <w:bCs/>
          <w:color w:val="2F5496" w:themeColor="accent1" w:themeShade="BF"/>
          <w:sz w:val="40"/>
          <w:szCs w:val="40"/>
        </w:rPr>
      </w:pPr>
    </w:p>
    <w:p w14:paraId="544709A5" w14:textId="4449D376" w:rsidR="0032410E" w:rsidRDefault="0032410E" w:rsidP="002117C7">
      <w:pPr>
        <w:rPr>
          <w:rFonts w:eastAsiaTheme="majorEastAsia" w:cstheme="majorBidi"/>
          <w:bCs/>
          <w:color w:val="2F5496" w:themeColor="accent1" w:themeShade="BF"/>
          <w:sz w:val="40"/>
          <w:szCs w:val="40"/>
        </w:rPr>
      </w:pPr>
    </w:p>
    <w:p w14:paraId="46BCCF2F" w14:textId="77777777" w:rsidR="00964ABE" w:rsidRDefault="00964ABE" w:rsidP="00B8453F">
      <w:pPr>
        <w:jc w:val="center"/>
        <w:rPr>
          <w:rFonts w:eastAsiaTheme="majorEastAsia" w:cstheme="majorBidi"/>
          <w:bCs/>
          <w:color w:val="2F5496" w:themeColor="accent1" w:themeShade="BF"/>
          <w:sz w:val="40"/>
          <w:szCs w:val="40"/>
        </w:rPr>
      </w:pPr>
    </w:p>
    <w:p w14:paraId="55A42442" w14:textId="5E432FB5" w:rsidR="00C45947" w:rsidRDefault="00965258" w:rsidP="00CD5AEF">
      <w:pPr>
        <w:pStyle w:val="Subtitle"/>
      </w:pPr>
      <w:r>
        <w:t>Working draft</w:t>
      </w:r>
    </w:p>
    <w:p w14:paraId="5F422B82" w14:textId="10A3220C" w:rsidR="0032410E" w:rsidRDefault="00E67574" w:rsidP="00CD5AEF">
      <w:pPr>
        <w:pStyle w:val="Subtitle"/>
      </w:pPr>
      <w:r>
        <w:t xml:space="preserve">November </w:t>
      </w:r>
      <w:r w:rsidR="00B8453F">
        <w:t>2018</w:t>
      </w:r>
    </w:p>
    <w:p w14:paraId="4CAD1CF8" w14:textId="0ADB983C" w:rsidR="00B8453F" w:rsidRDefault="00B8453F" w:rsidP="00CD5AEF">
      <w:pPr>
        <w:pStyle w:val="Subtitle"/>
      </w:pPr>
    </w:p>
    <w:p w14:paraId="76BB20AE" w14:textId="6367F721" w:rsidR="00B8453F" w:rsidRPr="00C12EA4" w:rsidRDefault="00B8453F" w:rsidP="002117C7">
      <w:pPr>
        <w:rPr>
          <w:rFonts w:eastAsiaTheme="majorEastAsia" w:cstheme="majorBidi"/>
          <w:bCs/>
          <w:color w:val="2F5496" w:themeColor="accent1" w:themeShade="BF"/>
          <w:sz w:val="40"/>
          <w:szCs w:val="40"/>
        </w:rPr>
      </w:pPr>
    </w:p>
    <w:p w14:paraId="69D008DC" w14:textId="6CF0C380" w:rsidR="00D35F61" w:rsidRPr="00D35F61" w:rsidRDefault="00D35F61" w:rsidP="00D35F61"/>
    <w:p w14:paraId="6B88EEB2" w14:textId="7F3A23C3" w:rsidR="00D35F61" w:rsidRPr="00D35F61" w:rsidRDefault="00D35F61" w:rsidP="00D35F61"/>
    <w:p w14:paraId="747AEED7" w14:textId="2B29A9D0" w:rsidR="00D35F61" w:rsidRPr="00D35F61" w:rsidRDefault="00D35F61" w:rsidP="00D35F61"/>
    <w:p w14:paraId="78646634" w14:textId="3EB1CA55" w:rsidR="00D35F61" w:rsidRPr="00D35F61" w:rsidRDefault="00D35F61" w:rsidP="00D35F61"/>
    <w:p w14:paraId="45ABF905" w14:textId="717CFBFF" w:rsidR="00D35F61" w:rsidRPr="00D35F61" w:rsidRDefault="00D35F61" w:rsidP="00D35F61"/>
    <w:p w14:paraId="62DC54E7" w14:textId="1B668D63" w:rsidR="00D35F61" w:rsidRPr="004F0FC4" w:rsidRDefault="004F0FC4" w:rsidP="004F0FC4">
      <w:pPr>
        <w:jc w:val="center"/>
        <w:rPr>
          <w:b/>
        </w:rPr>
      </w:pPr>
      <w:r w:rsidRPr="004F0FC4">
        <w:rPr>
          <w:b/>
        </w:rPr>
        <w:t>Wildlife Health Australia</w:t>
      </w:r>
    </w:p>
    <w:p w14:paraId="0052A244" w14:textId="7D27CCDD" w:rsidR="00D35F61" w:rsidRPr="00D35F61" w:rsidRDefault="00D35F61" w:rsidP="00D35F61"/>
    <w:p w14:paraId="7AEB2308" w14:textId="29ABF5F3" w:rsidR="00D35F61" w:rsidRPr="00D35F61" w:rsidRDefault="00D35F61" w:rsidP="00D35F61"/>
    <w:p w14:paraId="32A1E873" w14:textId="431AC98F" w:rsidR="00E2382F" w:rsidRDefault="00E2382F" w:rsidP="00E2382F">
      <w:r>
        <w:lastRenderedPageBreak/>
        <w:t xml:space="preserve">© Wildlife Health Australia, 2018 </w:t>
      </w:r>
    </w:p>
    <w:p w14:paraId="4AC008CA" w14:textId="2A27FB4D" w:rsidR="00E2382F" w:rsidRDefault="00E2382F" w:rsidP="00E2382F">
      <w:r w:rsidRPr="004C36C1">
        <w:t xml:space="preserve">ISBN X XXX XXXXX X (printed version) </w:t>
      </w:r>
      <w:r w:rsidR="00C736B2" w:rsidRPr="004C36C1">
        <w:br/>
      </w:r>
      <w:r w:rsidRPr="004C36C1">
        <w:t>ISBN X XXX XXXXX X (electronic version)</w:t>
      </w:r>
      <w:r>
        <w:t xml:space="preserve"> </w:t>
      </w:r>
    </w:p>
    <w:p w14:paraId="441E0D97" w14:textId="11BE2287" w:rsidR="00E2382F" w:rsidRDefault="00E2382F" w:rsidP="00E2382F">
      <w:r>
        <w:t xml:space="preserve">This work is copyright and, apart from any use as permitted under the </w:t>
      </w:r>
      <w:r>
        <w:rPr>
          <w:i/>
          <w:iCs/>
        </w:rPr>
        <w:t>Copyright Act 1968</w:t>
      </w:r>
      <w:r>
        <w:t xml:space="preserve">, no part may be reproduced without written permission from the publisher, Wildlife Health Australia. Requests and inquiries concerning reproduction and rights should be addressed to </w:t>
      </w:r>
      <w:hyperlink r:id="rId8" w:history="1">
        <w:r w:rsidR="00D57ACA" w:rsidRPr="00D54705">
          <w:rPr>
            <w:rStyle w:val="Hyperlink"/>
          </w:rPr>
          <w:t>admin@wildlifehealthaustralia.com.au</w:t>
        </w:r>
      </w:hyperlink>
      <w:r w:rsidR="00CD32FB">
        <w:t xml:space="preserve"> </w:t>
      </w:r>
      <w:r>
        <w:t xml:space="preserve"> – Wildlife Health Australia (see below). </w:t>
      </w:r>
    </w:p>
    <w:p w14:paraId="4FFC3C63" w14:textId="77777777" w:rsidR="00E2382F" w:rsidRDefault="00E2382F" w:rsidP="00E2382F">
      <w:r>
        <w:t xml:space="preserve">The publishers give no warranty that the information contained in the guidelines is correct or complete and shall not be liable for any loss howsoever caused, whether due to negligence or other circumstances, arising from use of or reliance on this code. </w:t>
      </w:r>
    </w:p>
    <w:p w14:paraId="1AA57656" w14:textId="77777777" w:rsidR="00E2382F" w:rsidRDefault="00E2382F" w:rsidP="00E2382F">
      <w:r>
        <w:rPr>
          <w:b/>
          <w:bCs/>
        </w:rPr>
        <w:t xml:space="preserve">Contact information </w:t>
      </w:r>
    </w:p>
    <w:p w14:paraId="58B988F3" w14:textId="77777777" w:rsidR="00E2382F" w:rsidRDefault="00E2382F" w:rsidP="00E2382F">
      <w:pPr>
        <w:pStyle w:val="NormalBeforeBullet"/>
      </w:pPr>
      <w:r>
        <w:t xml:space="preserve">This document will be reviewed regularly. Suggestions and recommendations for amendments should be forwarded to: </w:t>
      </w:r>
    </w:p>
    <w:p w14:paraId="60C7A599" w14:textId="463F60F3" w:rsidR="00E2382F" w:rsidRDefault="00E2382F" w:rsidP="00E2382F">
      <w:r>
        <w:t>Wildlife Health Australia</w:t>
      </w:r>
      <w:r>
        <w:br/>
        <w:t xml:space="preserve">Suite E, 34 Suakin Drive, Mosman NSW </w:t>
      </w:r>
      <w:r>
        <w:br/>
        <w:t xml:space="preserve">Tel: 02 9960 6333 </w:t>
      </w:r>
      <w:r>
        <w:br/>
        <w:t xml:space="preserve">email: </w:t>
      </w:r>
      <w:hyperlink r:id="rId9" w:history="1">
        <w:r w:rsidR="00D57ACA" w:rsidRPr="00D54705">
          <w:rPr>
            <w:rStyle w:val="Hyperlink"/>
          </w:rPr>
          <w:t>admin@wildlifehealthaustralia.com.au</w:t>
        </w:r>
      </w:hyperlink>
      <w:r>
        <w:t xml:space="preserve"> </w:t>
      </w:r>
    </w:p>
    <w:p w14:paraId="6628B7D2" w14:textId="77777777" w:rsidR="00E2382F" w:rsidRDefault="00E2382F" w:rsidP="00E2382F">
      <w:r>
        <w:rPr>
          <w:b/>
          <w:bCs/>
        </w:rPr>
        <w:t xml:space="preserve">Citation </w:t>
      </w:r>
    </w:p>
    <w:p w14:paraId="4320D9F1" w14:textId="4528ADA3" w:rsidR="00E2382F" w:rsidRDefault="00E2382F" w:rsidP="00E2382F">
      <w:r>
        <w:t>Wildlife Health Australia (2018). Guidelines for management of an emergency wildlife disease response</w:t>
      </w:r>
      <w:r w:rsidDel="00D10C85">
        <w:t xml:space="preserve"> </w:t>
      </w:r>
      <w:r>
        <w:t>(w</w:t>
      </w:r>
      <w:bookmarkStart w:id="0" w:name="_GoBack"/>
      <w:bookmarkEnd w:id="0"/>
      <w:r>
        <w:t xml:space="preserve">orking draft </w:t>
      </w:r>
      <w:r w:rsidR="00770068">
        <w:t>November</w:t>
      </w:r>
      <w:r>
        <w:t xml:space="preserve"> 2018)</w:t>
      </w:r>
      <w:r w:rsidR="004F0FC4">
        <w:t>,</w:t>
      </w:r>
      <w:r>
        <w:t xml:space="preserve"> Wildlife Health Australia, Sydney. </w:t>
      </w:r>
    </w:p>
    <w:p w14:paraId="23402D18" w14:textId="77777777" w:rsidR="004F0FC4" w:rsidRDefault="004F0FC4" w:rsidP="00E2382F"/>
    <w:p w14:paraId="5E55C68B" w14:textId="7C6F63B6" w:rsidR="00E2382F" w:rsidRDefault="00E2382F" w:rsidP="004F0FC4">
      <w:pPr>
        <w:pBdr>
          <w:top w:val="single" w:sz="4" w:space="1" w:color="auto"/>
          <w:left w:val="single" w:sz="4" w:space="4" w:color="auto"/>
          <w:bottom w:val="single" w:sz="4" w:space="1" w:color="auto"/>
          <w:right w:val="single" w:sz="4" w:space="4" w:color="auto"/>
        </w:pBdr>
        <w:jc w:val="center"/>
      </w:pPr>
      <w:r>
        <w:rPr>
          <w:b/>
          <w:bCs/>
        </w:rPr>
        <w:t>DISEASE WATCH HOTLINE: 1800 675 888</w:t>
      </w:r>
    </w:p>
    <w:p w14:paraId="1BAEB417" w14:textId="58514915" w:rsidR="00E2382F" w:rsidRDefault="00E2382F" w:rsidP="004F0FC4">
      <w:pPr>
        <w:pBdr>
          <w:top w:val="single" w:sz="4" w:space="1" w:color="auto"/>
          <w:left w:val="single" w:sz="4" w:space="4" w:color="auto"/>
          <w:bottom w:val="single" w:sz="4" w:space="1" w:color="auto"/>
          <w:right w:val="single" w:sz="4" w:space="4" w:color="auto"/>
        </w:pBdr>
        <w:jc w:val="center"/>
      </w:pPr>
      <w:r>
        <w:rPr>
          <w:b/>
          <w:bCs/>
        </w:rPr>
        <w:t>The Disease Watch Hotline is a toll-free telephone number that connects callers to the relevant state or territory officer to report concerns about any potential emergency disease situation. Anyone suspecting an emergency disease outbreak should use this number to get immediate advice and assistance.</w:t>
      </w:r>
    </w:p>
    <w:p w14:paraId="3D724E28" w14:textId="77777777" w:rsidR="004F0FC4" w:rsidRDefault="004F0FC4" w:rsidP="00D35F61">
      <w:pPr>
        <w:sectPr w:rsidR="004F0FC4" w:rsidSect="00C45947">
          <w:headerReference w:type="default" r:id="rId10"/>
          <w:footerReference w:type="default" r:id="rId11"/>
          <w:pgSz w:w="11906" w:h="16838" w:code="9"/>
          <w:pgMar w:top="1440" w:right="1440" w:bottom="1440" w:left="1440" w:header="720" w:footer="720" w:gutter="0"/>
          <w:cols w:space="720"/>
          <w:titlePg/>
          <w:docGrid w:linePitch="360"/>
        </w:sectPr>
      </w:pPr>
    </w:p>
    <w:p w14:paraId="75BD0F51" w14:textId="7691C1B6" w:rsidR="004E3648" w:rsidRDefault="00A66BEF" w:rsidP="00A66BEF">
      <w:pPr>
        <w:pStyle w:val="Heading1a"/>
      </w:pPr>
      <w:r>
        <w:lastRenderedPageBreak/>
        <w:t>Contents</w:t>
      </w:r>
    </w:p>
    <w:p w14:paraId="10351FEE" w14:textId="3E228F02" w:rsidR="004F0FC4" w:rsidRDefault="00A66BEF">
      <w:pPr>
        <w:pStyle w:val="TOC1"/>
        <w:rPr>
          <w:rFonts w:asciiTheme="minorHAnsi" w:eastAsiaTheme="minorEastAsia" w:hAnsiTheme="minorHAnsi" w:cstheme="minorBidi"/>
          <w:b w:val="0"/>
          <w:bCs w:val="0"/>
          <w:color w:val="auto"/>
          <w:sz w:val="22"/>
          <w:szCs w:val="22"/>
        </w:rPr>
      </w:pPr>
      <w:r>
        <w:fldChar w:fldCharType="begin"/>
      </w:r>
      <w:r>
        <w:instrText xml:space="preserve"> TOC \h \z \t "Heading 1,1,Heading 2,2,Heading 3,3" </w:instrText>
      </w:r>
      <w:r>
        <w:fldChar w:fldCharType="separate"/>
      </w:r>
      <w:hyperlink w:anchor="_Toc529783742" w:history="1">
        <w:r w:rsidR="004F0FC4" w:rsidRPr="000C7CE7">
          <w:rPr>
            <w:rStyle w:val="Hyperlink"/>
          </w:rPr>
          <w:t>1</w:t>
        </w:r>
        <w:r w:rsidR="004F0FC4">
          <w:rPr>
            <w:rFonts w:asciiTheme="minorHAnsi" w:eastAsiaTheme="minorEastAsia" w:hAnsiTheme="minorHAnsi" w:cstheme="minorBidi"/>
            <w:b w:val="0"/>
            <w:bCs w:val="0"/>
            <w:color w:val="auto"/>
            <w:sz w:val="22"/>
            <w:szCs w:val="22"/>
          </w:rPr>
          <w:tab/>
        </w:r>
        <w:r w:rsidR="004F0FC4" w:rsidRPr="000C7CE7">
          <w:rPr>
            <w:rStyle w:val="Hyperlink"/>
          </w:rPr>
          <w:t>Introduction</w:t>
        </w:r>
        <w:r w:rsidR="004F0FC4">
          <w:rPr>
            <w:webHidden/>
          </w:rPr>
          <w:tab/>
        </w:r>
        <w:r w:rsidR="004F0FC4">
          <w:rPr>
            <w:webHidden/>
          </w:rPr>
          <w:fldChar w:fldCharType="begin"/>
        </w:r>
        <w:r w:rsidR="004F0FC4">
          <w:rPr>
            <w:webHidden/>
          </w:rPr>
          <w:instrText xml:space="preserve"> PAGEREF _Toc529783742 \h </w:instrText>
        </w:r>
        <w:r w:rsidR="004F0FC4">
          <w:rPr>
            <w:webHidden/>
          </w:rPr>
        </w:r>
        <w:r w:rsidR="004F0FC4">
          <w:rPr>
            <w:webHidden/>
          </w:rPr>
          <w:fldChar w:fldCharType="separate"/>
        </w:r>
        <w:r w:rsidR="004E4C48">
          <w:rPr>
            <w:webHidden/>
          </w:rPr>
          <w:t>6</w:t>
        </w:r>
        <w:r w:rsidR="004F0FC4">
          <w:rPr>
            <w:webHidden/>
          </w:rPr>
          <w:fldChar w:fldCharType="end"/>
        </w:r>
      </w:hyperlink>
    </w:p>
    <w:p w14:paraId="6116AD13" w14:textId="61C0F025" w:rsidR="004F0FC4" w:rsidRDefault="00DB7859">
      <w:pPr>
        <w:pStyle w:val="TOC2"/>
        <w:rPr>
          <w:rFonts w:asciiTheme="minorHAnsi" w:eastAsiaTheme="minorEastAsia" w:hAnsiTheme="minorHAnsi" w:cstheme="minorBidi"/>
          <w:noProof/>
          <w:color w:val="auto"/>
          <w:sz w:val="22"/>
          <w:szCs w:val="22"/>
        </w:rPr>
      </w:pPr>
      <w:hyperlink w:anchor="_Toc529783743" w:history="1">
        <w:r w:rsidR="004F0FC4" w:rsidRPr="000C7CE7">
          <w:rPr>
            <w:rStyle w:val="Hyperlink"/>
            <w:noProof/>
          </w:rPr>
          <w:t>1.1</w:t>
        </w:r>
        <w:r w:rsidR="004F0FC4">
          <w:rPr>
            <w:rFonts w:asciiTheme="minorHAnsi" w:eastAsiaTheme="minorEastAsia" w:hAnsiTheme="minorHAnsi" w:cstheme="minorBidi"/>
            <w:noProof/>
            <w:color w:val="auto"/>
            <w:sz w:val="22"/>
            <w:szCs w:val="22"/>
          </w:rPr>
          <w:tab/>
        </w:r>
        <w:r w:rsidR="004F0FC4" w:rsidRPr="000C7CE7">
          <w:rPr>
            <w:rStyle w:val="Hyperlink"/>
            <w:noProof/>
          </w:rPr>
          <w:t>Purpose</w:t>
        </w:r>
        <w:r w:rsidR="004F0FC4">
          <w:rPr>
            <w:noProof/>
            <w:webHidden/>
          </w:rPr>
          <w:tab/>
        </w:r>
        <w:r w:rsidR="004F0FC4">
          <w:rPr>
            <w:noProof/>
            <w:webHidden/>
          </w:rPr>
          <w:fldChar w:fldCharType="begin"/>
        </w:r>
        <w:r w:rsidR="004F0FC4">
          <w:rPr>
            <w:noProof/>
            <w:webHidden/>
          </w:rPr>
          <w:instrText xml:space="preserve"> PAGEREF _Toc529783743 \h </w:instrText>
        </w:r>
        <w:r w:rsidR="004F0FC4">
          <w:rPr>
            <w:noProof/>
            <w:webHidden/>
          </w:rPr>
        </w:r>
        <w:r w:rsidR="004F0FC4">
          <w:rPr>
            <w:noProof/>
            <w:webHidden/>
          </w:rPr>
          <w:fldChar w:fldCharType="separate"/>
        </w:r>
        <w:r w:rsidR="004E4C48">
          <w:rPr>
            <w:noProof/>
            <w:webHidden/>
          </w:rPr>
          <w:t>6</w:t>
        </w:r>
        <w:r w:rsidR="004F0FC4">
          <w:rPr>
            <w:noProof/>
            <w:webHidden/>
          </w:rPr>
          <w:fldChar w:fldCharType="end"/>
        </w:r>
      </w:hyperlink>
    </w:p>
    <w:p w14:paraId="3DFA93E9" w14:textId="7178AE66" w:rsidR="004F0FC4" w:rsidRDefault="00DB7859">
      <w:pPr>
        <w:pStyle w:val="TOC2"/>
        <w:rPr>
          <w:rFonts w:asciiTheme="minorHAnsi" w:eastAsiaTheme="minorEastAsia" w:hAnsiTheme="minorHAnsi" w:cstheme="minorBidi"/>
          <w:noProof/>
          <w:color w:val="auto"/>
          <w:sz w:val="22"/>
          <w:szCs w:val="22"/>
        </w:rPr>
      </w:pPr>
      <w:hyperlink w:anchor="_Toc529783744" w:history="1">
        <w:r w:rsidR="004F0FC4" w:rsidRPr="000C7CE7">
          <w:rPr>
            <w:rStyle w:val="Hyperlink"/>
            <w:noProof/>
          </w:rPr>
          <w:t>1.2</w:t>
        </w:r>
        <w:r w:rsidR="004F0FC4">
          <w:rPr>
            <w:rFonts w:asciiTheme="minorHAnsi" w:eastAsiaTheme="minorEastAsia" w:hAnsiTheme="minorHAnsi" w:cstheme="minorBidi"/>
            <w:noProof/>
            <w:color w:val="auto"/>
            <w:sz w:val="22"/>
            <w:szCs w:val="22"/>
          </w:rPr>
          <w:tab/>
        </w:r>
        <w:r w:rsidR="004F0FC4" w:rsidRPr="000C7CE7">
          <w:rPr>
            <w:rStyle w:val="Hyperlink"/>
            <w:noProof/>
          </w:rPr>
          <w:t>Rationale</w:t>
        </w:r>
        <w:r w:rsidR="004F0FC4">
          <w:rPr>
            <w:noProof/>
            <w:webHidden/>
          </w:rPr>
          <w:tab/>
        </w:r>
        <w:r w:rsidR="004F0FC4">
          <w:rPr>
            <w:noProof/>
            <w:webHidden/>
          </w:rPr>
          <w:fldChar w:fldCharType="begin"/>
        </w:r>
        <w:r w:rsidR="004F0FC4">
          <w:rPr>
            <w:noProof/>
            <w:webHidden/>
          </w:rPr>
          <w:instrText xml:space="preserve"> PAGEREF _Toc529783744 \h </w:instrText>
        </w:r>
        <w:r w:rsidR="004F0FC4">
          <w:rPr>
            <w:noProof/>
            <w:webHidden/>
          </w:rPr>
        </w:r>
        <w:r w:rsidR="004F0FC4">
          <w:rPr>
            <w:noProof/>
            <w:webHidden/>
          </w:rPr>
          <w:fldChar w:fldCharType="separate"/>
        </w:r>
        <w:r w:rsidR="004E4C48">
          <w:rPr>
            <w:noProof/>
            <w:webHidden/>
          </w:rPr>
          <w:t>6</w:t>
        </w:r>
        <w:r w:rsidR="004F0FC4">
          <w:rPr>
            <w:noProof/>
            <w:webHidden/>
          </w:rPr>
          <w:fldChar w:fldCharType="end"/>
        </w:r>
      </w:hyperlink>
    </w:p>
    <w:p w14:paraId="51091B99" w14:textId="2619DECD" w:rsidR="004F0FC4" w:rsidRDefault="00DB7859">
      <w:pPr>
        <w:pStyle w:val="TOC2"/>
        <w:rPr>
          <w:rFonts w:asciiTheme="minorHAnsi" w:eastAsiaTheme="minorEastAsia" w:hAnsiTheme="minorHAnsi" w:cstheme="minorBidi"/>
          <w:noProof/>
          <w:color w:val="auto"/>
          <w:sz w:val="22"/>
          <w:szCs w:val="22"/>
        </w:rPr>
      </w:pPr>
      <w:hyperlink w:anchor="_Toc529783745" w:history="1">
        <w:r w:rsidR="004F0FC4" w:rsidRPr="000C7CE7">
          <w:rPr>
            <w:rStyle w:val="Hyperlink"/>
            <w:noProof/>
          </w:rPr>
          <w:t>1.3</w:t>
        </w:r>
        <w:r w:rsidR="004F0FC4">
          <w:rPr>
            <w:rFonts w:asciiTheme="minorHAnsi" w:eastAsiaTheme="minorEastAsia" w:hAnsiTheme="minorHAnsi" w:cstheme="minorBidi"/>
            <w:noProof/>
            <w:color w:val="auto"/>
            <w:sz w:val="22"/>
            <w:szCs w:val="22"/>
          </w:rPr>
          <w:tab/>
        </w:r>
        <w:r w:rsidR="004F0FC4" w:rsidRPr="000C7CE7">
          <w:rPr>
            <w:rStyle w:val="Hyperlink"/>
            <w:noProof/>
          </w:rPr>
          <w:t>Scope and application</w:t>
        </w:r>
        <w:r w:rsidR="004F0FC4">
          <w:rPr>
            <w:noProof/>
            <w:webHidden/>
          </w:rPr>
          <w:tab/>
        </w:r>
        <w:r w:rsidR="004F0FC4">
          <w:rPr>
            <w:noProof/>
            <w:webHidden/>
          </w:rPr>
          <w:fldChar w:fldCharType="begin"/>
        </w:r>
        <w:r w:rsidR="004F0FC4">
          <w:rPr>
            <w:noProof/>
            <w:webHidden/>
          </w:rPr>
          <w:instrText xml:space="preserve"> PAGEREF _Toc529783745 \h </w:instrText>
        </w:r>
        <w:r w:rsidR="004F0FC4">
          <w:rPr>
            <w:noProof/>
            <w:webHidden/>
          </w:rPr>
        </w:r>
        <w:r w:rsidR="004F0FC4">
          <w:rPr>
            <w:noProof/>
            <w:webHidden/>
          </w:rPr>
          <w:fldChar w:fldCharType="separate"/>
        </w:r>
        <w:r w:rsidR="004E4C48">
          <w:rPr>
            <w:noProof/>
            <w:webHidden/>
          </w:rPr>
          <w:t>6</w:t>
        </w:r>
        <w:r w:rsidR="004F0FC4">
          <w:rPr>
            <w:noProof/>
            <w:webHidden/>
          </w:rPr>
          <w:fldChar w:fldCharType="end"/>
        </w:r>
      </w:hyperlink>
    </w:p>
    <w:p w14:paraId="6574A122" w14:textId="14F3DC13" w:rsidR="004F0FC4" w:rsidRDefault="00DB7859">
      <w:pPr>
        <w:pStyle w:val="TOC1"/>
        <w:rPr>
          <w:rFonts w:asciiTheme="minorHAnsi" w:eastAsiaTheme="minorEastAsia" w:hAnsiTheme="minorHAnsi" w:cstheme="minorBidi"/>
          <w:b w:val="0"/>
          <w:bCs w:val="0"/>
          <w:color w:val="auto"/>
          <w:sz w:val="22"/>
          <w:szCs w:val="22"/>
        </w:rPr>
      </w:pPr>
      <w:hyperlink w:anchor="_Toc529783746" w:history="1">
        <w:r w:rsidR="004F0FC4" w:rsidRPr="000C7CE7">
          <w:rPr>
            <w:rStyle w:val="Hyperlink"/>
          </w:rPr>
          <w:t>2</w:t>
        </w:r>
        <w:r w:rsidR="004F0FC4">
          <w:rPr>
            <w:rFonts w:asciiTheme="minorHAnsi" w:eastAsiaTheme="minorEastAsia" w:hAnsiTheme="minorHAnsi" w:cstheme="minorBidi"/>
            <w:b w:val="0"/>
            <w:bCs w:val="0"/>
            <w:color w:val="auto"/>
            <w:sz w:val="22"/>
            <w:szCs w:val="22"/>
          </w:rPr>
          <w:tab/>
        </w:r>
        <w:r w:rsidR="004F0FC4" w:rsidRPr="000C7CE7">
          <w:rPr>
            <w:rStyle w:val="Hyperlink"/>
          </w:rPr>
          <w:t>Legislation, agreements and plans relevant to management of an emergency wildlife disease response</w:t>
        </w:r>
        <w:r w:rsidR="004F0FC4">
          <w:rPr>
            <w:webHidden/>
          </w:rPr>
          <w:tab/>
        </w:r>
        <w:r w:rsidR="004F0FC4">
          <w:rPr>
            <w:webHidden/>
          </w:rPr>
          <w:fldChar w:fldCharType="begin"/>
        </w:r>
        <w:r w:rsidR="004F0FC4">
          <w:rPr>
            <w:webHidden/>
          </w:rPr>
          <w:instrText xml:space="preserve"> PAGEREF _Toc529783746 \h </w:instrText>
        </w:r>
        <w:r w:rsidR="004F0FC4">
          <w:rPr>
            <w:webHidden/>
          </w:rPr>
        </w:r>
        <w:r w:rsidR="004F0FC4">
          <w:rPr>
            <w:webHidden/>
          </w:rPr>
          <w:fldChar w:fldCharType="separate"/>
        </w:r>
        <w:r w:rsidR="004E4C48">
          <w:rPr>
            <w:webHidden/>
          </w:rPr>
          <w:t>8</w:t>
        </w:r>
        <w:r w:rsidR="004F0FC4">
          <w:rPr>
            <w:webHidden/>
          </w:rPr>
          <w:fldChar w:fldCharType="end"/>
        </w:r>
      </w:hyperlink>
    </w:p>
    <w:p w14:paraId="46568C6A" w14:textId="638623B4" w:rsidR="004F0FC4" w:rsidRDefault="00DB7859">
      <w:pPr>
        <w:pStyle w:val="TOC2"/>
        <w:rPr>
          <w:rFonts w:asciiTheme="minorHAnsi" w:eastAsiaTheme="minorEastAsia" w:hAnsiTheme="minorHAnsi" w:cstheme="minorBidi"/>
          <w:noProof/>
          <w:color w:val="auto"/>
          <w:sz w:val="22"/>
          <w:szCs w:val="22"/>
        </w:rPr>
      </w:pPr>
      <w:hyperlink w:anchor="_Toc529783747" w:history="1">
        <w:r w:rsidR="004F0FC4" w:rsidRPr="000C7CE7">
          <w:rPr>
            <w:rStyle w:val="Hyperlink"/>
            <w:noProof/>
          </w:rPr>
          <w:t>2.1</w:t>
        </w:r>
        <w:r w:rsidR="004F0FC4">
          <w:rPr>
            <w:rFonts w:asciiTheme="minorHAnsi" w:eastAsiaTheme="minorEastAsia" w:hAnsiTheme="minorHAnsi" w:cstheme="minorBidi"/>
            <w:noProof/>
            <w:color w:val="auto"/>
            <w:sz w:val="22"/>
            <w:szCs w:val="22"/>
          </w:rPr>
          <w:tab/>
        </w:r>
        <w:r w:rsidR="004F0FC4" w:rsidRPr="000C7CE7">
          <w:rPr>
            <w:rStyle w:val="Hyperlink"/>
            <w:noProof/>
          </w:rPr>
          <w:t>Legislation</w:t>
        </w:r>
        <w:r w:rsidR="004F0FC4">
          <w:rPr>
            <w:noProof/>
            <w:webHidden/>
          </w:rPr>
          <w:tab/>
        </w:r>
        <w:r w:rsidR="004F0FC4">
          <w:rPr>
            <w:noProof/>
            <w:webHidden/>
          </w:rPr>
          <w:fldChar w:fldCharType="begin"/>
        </w:r>
        <w:r w:rsidR="004F0FC4">
          <w:rPr>
            <w:noProof/>
            <w:webHidden/>
          </w:rPr>
          <w:instrText xml:space="preserve"> PAGEREF _Toc529783747 \h </w:instrText>
        </w:r>
        <w:r w:rsidR="004F0FC4">
          <w:rPr>
            <w:noProof/>
            <w:webHidden/>
          </w:rPr>
        </w:r>
        <w:r w:rsidR="004F0FC4">
          <w:rPr>
            <w:noProof/>
            <w:webHidden/>
          </w:rPr>
          <w:fldChar w:fldCharType="separate"/>
        </w:r>
        <w:r w:rsidR="004E4C48">
          <w:rPr>
            <w:noProof/>
            <w:webHidden/>
          </w:rPr>
          <w:t>8</w:t>
        </w:r>
        <w:r w:rsidR="004F0FC4">
          <w:rPr>
            <w:noProof/>
            <w:webHidden/>
          </w:rPr>
          <w:fldChar w:fldCharType="end"/>
        </w:r>
      </w:hyperlink>
    </w:p>
    <w:p w14:paraId="01558A0A" w14:textId="2F82B781" w:rsidR="004F0FC4" w:rsidRDefault="00DB7859">
      <w:pPr>
        <w:pStyle w:val="TOC3"/>
        <w:rPr>
          <w:rFonts w:asciiTheme="minorHAnsi" w:eastAsiaTheme="minorEastAsia" w:hAnsiTheme="minorHAnsi" w:cstheme="minorBidi"/>
          <w:noProof/>
          <w:color w:val="auto"/>
          <w:sz w:val="22"/>
          <w:szCs w:val="22"/>
        </w:rPr>
      </w:pPr>
      <w:hyperlink w:anchor="_Toc529783748" w:history="1">
        <w:r w:rsidR="004F0FC4" w:rsidRPr="000C7CE7">
          <w:rPr>
            <w:rStyle w:val="Hyperlink"/>
            <w:noProof/>
          </w:rPr>
          <w:t>2.1.1</w:t>
        </w:r>
        <w:r w:rsidR="004F0FC4">
          <w:rPr>
            <w:rFonts w:asciiTheme="minorHAnsi" w:eastAsiaTheme="minorEastAsia" w:hAnsiTheme="minorHAnsi" w:cstheme="minorBidi"/>
            <w:noProof/>
            <w:color w:val="auto"/>
            <w:sz w:val="22"/>
            <w:szCs w:val="22"/>
          </w:rPr>
          <w:tab/>
        </w:r>
        <w:r w:rsidR="004F0FC4" w:rsidRPr="000C7CE7">
          <w:rPr>
            <w:rStyle w:val="Hyperlink"/>
            <w:noProof/>
          </w:rPr>
          <w:t>Biosecurity legislation</w:t>
        </w:r>
        <w:r w:rsidR="004F0FC4">
          <w:rPr>
            <w:noProof/>
            <w:webHidden/>
          </w:rPr>
          <w:tab/>
        </w:r>
        <w:r w:rsidR="004F0FC4">
          <w:rPr>
            <w:noProof/>
            <w:webHidden/>
          </w:rPr>
          <w:fldChar w:fldCharType="begin"/>
        </w:r>
        <w:r w:rsidR="004F0FC4">
          <w:rPr>
            <w:noProof/>
            <w:webHidden/>
          </w:rPr>
          <w:instrText xml:space="preserve"> PAGEREF _Toc529783748 \h </w:instrText>
        </w:r>
        <w:r w:rsidR="004F0FC4">
          <w:rPr>
            <w:noProof/>
            <w:webHidden/>
          </w:rPr>
        </w:r>
        <w:r w:rsidR="004F0FC4">
          <w:rPr>
            <w:noProof/>
            <w:webHidden/>
          </w:rPr>
          <w:fldChar w:fldCharType="separate"/>
        </w:r>
        <w:r w:rsidR="004E4C48">
          <w:rPr>
            <w:noProof/>
            <w:webHidden/>
          </w:rPr>
          <w:t>8</w:t>
        </w:r>
        <w:r w:rsidR="004F0FC4">
          <w:rPr>
            <w:noProof/>
            <w:webHidden/>
          </w:rPr>
          <w:fldChar w:fldCharType="end"/>
        </w:r>
      </w:hyperlink>
    </w:p>
    <w:p w14:paraId="499D58B4" w14:textId="152407A9" w:rsidR="004F0FC4" w:rsidRDefault="00DB7859">
      <w:pPr>
        <w:pStyle w:val="TOC3"/>
        <w:rPr>
          <w:rFonts w:asciiTheme="minorHAnsi" w:eastAsiaTheme="minorEastAsia" w:hAnsiTheme="minorHAnsi" w:cstheme="minorBidi"/>
          <w:noProof/>
          <w:color w:val="auto"/>
          <w:sz w:val="22"/>
          <w:szCs w:val="22"/>
        </w:rPr>
      </w:pPr>
      <w:hyperlink w:anchor="_Toc529783749" w:history="1">
        <w:r w:rsidR="004F0FC4" w:rsidRPr="000C7CE7">
          <w:rPr>
            <w:rStyle w:val="Hyperlink"/>
            <w:noProof/>
          </w:rPr>
          <w:t>2.1.2</w:t>
        </w:r>
        <w:r w:rsidR="004F0FC4">
          <w:rPr>
            <w:rFonts w:asciiTheme="minorHAnsi" w:eastAsiaTheme="minorEastAsia" w:hAnsiTheme="minorHAnsi" w:cstheme="minorBidi"/>
            <w:noProof/>
            <w:color w:val="auto"/>
            <w:sz w:val="22"/>
            <w:szCs w:val="22"/>
          </w:rPr>
          <w:tab/>
        </w:r>
        <w:r w:rsidR="004F0FC4" w:rsidRPr="000C7CE7">
          <w:rPr>
            <w:rStyle w:val="Hyperlink"/>
            <w:noProof/>
          </w:rPr>
          <w:t>Emergency management legislation</w:t>
        </w:r>
        <w:r w:rsidR="004F0FC4">
          <w:rPr>
            <w:noProof/>
            <w:webHidden/>
          </w:rPr>
          <w:tab/>
        </w:r>
        <w:r w:rsidR="004F0FC4">
          <w:rPr>
            <w:noProof/>
            <w:webHidden/>
          </w:rPr>
          <w:fldChar w:fldCharType="begin"/>
        </w:r>
        <w:r w:rsidR="004F0FC4">
          <w:rPr>
            <w:noProof/>
            <w:webHidden/>
          </w:rPr>
          <w:instrText xml:space="preserve"> PAGEREF _Toc529783749 \h </w:instrText>
        </w:r>
        <w:r w:rsidR="004F0FC4">
          <w:rPr>
            <w:noProof/>
            <w:webHidden/>
          </w:rPr>
        </w:r>
        <w:r w:rsidR="004F0FC4">
          <w:rPr>
            <w:noProof/>
            <w:webHidden/>
          </w:rPr>
          <w:fldChar w:fldCharType="separate"/>
        </w:r>
        <w:r w:rsidR="004E4C48">
          <w:rPr>
            <w:noProof/>
            <w:webHidden/>
          </w:rPr>
          <w:t>9</w:t>
        </w:r>
        <w:r w:rsidR="004F0FC4">
          <w:rPr>
            <w:noProof/>
            <w:webHidden/>
          </w:rPr>
          <w:fldChar w:fldCharType="end"/>
        </w:r>
      </w:hyperlink>
    </w:p>
    <w:p w14:paraId="3460DEA3" w14:textId="085F894D" w:rsidR="004F0FC4" w:rsidRDefault="00DB7859">
      <w:pPr>
        <w:pStyle w:val="TOC3"/>
        <w:rPr>
          <w:rFonts w:asciiTheme="minorHAnsi" w:eastAsiaTheme="minorEastAsia" w:hAnsiTheme="minorHAnsi" w:cstheme="minorBidi"/>
          <w:noProof/>
          <w:color w:val="auto"/>
          <w:sz w:val="22"/>
          <w:szCs w:val="22"/>
        </w:rPr>
      </w:pPr>
      <w:hyperlink w:anchor="_Toc529783750" w:history="1">
        <w:r w:rsidR="004F0FC4" w:rsidRPr="000C7CE7">
          <w:rPr>
            <w:rStyle w:val="Hyperlink"/>
            <w:noProof/>
          </w:rPr>
          <w:t>2.1.3</w:t>
        </w:r>
        <w:r w:rsidR="004F0FC4">
          <w:rPr>
            <w:rFonts w:asciiTheme="minorHAnsi" w:eastAsiaTheme="minorEastAsia" w:hAnsiTheme="minorHAnsi" w:cstheme="minorBidi"/>
            <w:noProof/>
            <w:color w:val="auto"/>
            <w:sz w:val="22"/>
            <w:szCs w:val="22"/>
          </w:rPr>
          <w:tab/>
        </w:r>
        <w:r w:rsidR="004F0FC4" w:rsidRPr="000C7CE7">
          <w:rPr>
            <w:rStyle w:val="Hyperlink"/>
            <w:noProof/>
          </w:rPr>
          <w:t>Animal welfare legislation</w:t>
        </w:r>
        <w:r w:rsidR="004F0FC4">
          <w:rPr>
            <w:noProof/>
            <w:webHidden/>
          </w:rPr>
          <w:tab/>
        </w:r>
        <w:r w:rsidR="004F0FC4">
          <w:rPr>
            <w:noProof/>
            <w:webHidden/>
          </w:rPr>
          <w:fldChar w:fldCharType="begin"/>
        </w:r>
        <w:r w:rsidR="004F0FC4">
          <w:rPr>
            <w:noProof/>
            <w:webHidden/>
          </w:rPr>
          <w:instrText xml:space="preserve"> PAGEREF _Toc529783750 \h </w:instrText>
        </w:r>
        <w:r w:rsidR="004F0FC4">
          <w:rPr>
            <w:noProof/>
            <w:webHidden/>
          </w:rPr>
        </w:r>
        <w:r w:rsidR="004F0FC4">
          <w:rPr>
            <w:noProof/>
            <w:webHidden/>
          </w:rPr>
          <w:fldChar w:fldCharType="separate"/>
        </w:r>
        <w:r w:rsidR="004E4C48">
          <w:rPr>
            <w:noProof/>
            <w:webHidden/>
          </w:rPr>
          <w:t>9</w:t>
        </w:r>
        <w:r w:rsidR="004F0FC4">
          <w:rPr>
            <w:noProof/>
            <w:webHidden/>
          </w:rPr>
          <w:fldChar w:fldCharType="end"/>
        </w:r>
      </w:hyperlink>
    </w:p>
    <w:p w14:paraId="0349F214" w14:textId="5C363D90" w:rsidR="004F0FC4" w:rsidRDefault="00DB7859">
      <w:pPr>
        <w:pStyle w:val="TOC3"/>
        <w:rPr>
          <w:rFonts w:asciiTheme="minorHAnsi" w:eastAsiaTheme="minorEastAsia" w:hAnsiTheme="minorHAnsi" w:cstheme="minorBidi"/>
          <w:noProof/>
          <w:color w:val="auto"/>
          <w:sz w:val="22"/>
          <w:szCs w:val="22"/>
        </w:rPr>
      </w:pPr>
      <w:hyperlink w:anchor="_Toc529783751" w:history="1">
        <w:r w:rsidR="004F0FC4" w:rsidRPr="000C7CE7">
          <w:rPr>
            <w:rStyle w:val="Hyperlink"/>
            <w:noProof/>
          </w:rPr>
          <w:t>2.1.4</w:t>
        </w:r>
        <w:r w:rsidR="004F0FC4">
          <w:rPr>
            <w:rFonts w:asciiTheme="minorHAnsi" w:eastAsiaTheme="minorEastAsia" w:hAnsiTheme="minorHAnsi" w:cstheme="minorBidi"/>
            <w:noProof/>
            <w:color w:val="auto"/>
            <w:sz w:val="22"/>
            <w:szCs w:val="22"/>
          </w:rPr>
          <w:tab/>
        </w:r>
        <w:r w:rsidR="004F0FC4" w:rsidRPr="000C7CE7">
          <w:rPr>
            <w:rStyle w:val="Hyperlink"/>
            <w:noProof/>
          </w:rPr>
          <w:t>Wildlife protection and management legislation</w:t>
        </w:r>
        <w:r w:rsidR="004F0FC4">
          <w:rPr>
            <w:noProof/>
            <w:webHidden/>
          </w:rPr>
          <w:tab/>
        </w:r>
        <w:r w:rsidR="004F0FC4">
          <w:rPr>
            <w:noProof/>
            <w:webHidden/>
          </w:rPr>
          <w:fldChar w:fldCharType="begin"/>
        </w:r>
        <w:r w:rsidR="004F0FC4">
          <w:rPr>
            <w:noProof/>
            <w:webHidden/>
          </w:rPr>
          <w:instrText xml:space="preserve"> PAGEREF _Toc529783751 \h </w:instrText>
        </w:r>
        <w:r w:rsidR="004F0FC4">
          <w:rPr>
            <w:noProof/>
            <w:webHidden/>
          </w:rPr>
        </w:r>
        <w:r w:rsidR="004F0FC4">
          <w:rPr>
            <w:noProof/>
            <w:webHidden/>
          </w:rPr>
          <w:fldChar w:fldCharType="separate"/>
        </w:r>
        <w:r w:rsidR="004E4C48">
          <w:rPr>
            <w:noProof/>
            <w:webHidden/>
          </w:rPr>
          <w:t>10</w:t>
        </w:r>
        <w:r w:rsidR="004F0FC4">
          <w:rPr>
            <w:noProof/>
            <w:webHidden/>
          </w:rPr>
          <w:fldChar w:fldCharType="end"/>
        </w:r>
      </w:hyperlink>
    </w:p>
    <w:p w14:paraId="46D89B18" w14:textId="09958D2D" w:rsidR="004F0FC4" w:rsidRDefault="00DB7859">
      <w:pPr>
        <w:pStyle w:val="TOC3"/>
        <w:rPr>
          <w:rFonts w:asciiTheme="minorHAnsi" w:eastAsiaTheme="minorEastAsia" w:hAnsiTheme="minorHAnsi" w:cstheme="minorBidi"/>
          <w:noProof/>
          <w:color w:val="auto"/>
          <w:sz w:val="22"/>
          <w:szCs w:val="22"/>
        </w:rPr>
      </w:pPr>
      <w:hyperlink w:anchor="_Toc529783752" w:history="1">
        <w:r w:rsidR="004F0FC4" w:rsidRPr="000C7CE7">
          <w:rPr>
            <w:rStyle w:val="Hyperlink"/>
            <w:noProof/>
          </w:rPr>
          <w:t>2.1.5</w:t>
        </w:r>
        <w:r w:rsidR="004F0FC4">
          <w:rPr>
            <w:rFonts w:asciiTheme="minorHAnsi" w:eastAsiaTheme="minorEastAsia" w:hAnsiTheme="minorHAnsi" w:cstheme="minorBidi"/>
            <w:noProof/>
            <w:color w:val="auto"/>
            <w:sz w:val="22"/>
            <w:szCs w:val="22"/>
          </w:rPr>
          <w:tab/>
        </w:r>
        <w:r w:rsidR="004F0FC4" w:rsidRPr="000C7CE7">
          <w:rPr>
            <w:rStyle w:val="Hyperlink"/>
            <w:noProof/>
          </w:rPr>
          <w:t>Human health legislation</w:t>
        </w:r>
        <w:r w:rsidR="004F0FC4">
          <w:rPr>
            <w:noProof/>
            <w:webHidden/>
          </w:rPr>
          <w:tab/>
        </w:r>
        <w:r w:rsidR="004F0FC4">
          <w:rPr>
            <w:noProof/>
            <w:webHidden/>
          </w:rPr>
          <w:fldChar w:fldCharType="begin"/>
        </w:r>
        <w:r w:rsidR="004F0FC4">
          <w:rPr>
            <w:noProof/>
            <w:webHidden/>
          </w:rPr>
          <w:instrText xml:space="preserve"> PAGEREF _Toc529783752 \h </w:instrText>
        </w:r>
        <w:r w:rsidR="004F0FC4">
          <w:rPr>
            <w:noProof/>
            <w:webHidden/>
          </w:rPr>
        </w:r>
        <w:r w:rsidR="004F0FC4">
          <w:rPr>
            <w:noProof/>
            <w:webHidden/>
          </w:rPr>
          <w:fldChar w:fldCharType="separate"/>
        </w:r>
        <w:r w:rsidR="004E4C48">
          <w:rPr>
            <w:noProof/>
            <w:webHidden/>
          </w:rPr>
          <w:t>10</w:t>
        </w:r>
        <w:r w:rsidR="004F0FC4">
          <w:rPr>
            <w:noProof/>
            <w:webHidden/>
          </w:rPr>
          <w:fldChar w:fldCharType="end"/>
        </w:r>
      </w:hyperlink>
    </w:p>
    <w:p w14:paraId="7EC2B98A" w14:textId="786CFC77" w:rsidR="004F0FC4" w:rsidRDefault="00DB7859">
      <w:pPr>
        <w:pStyle w:val="TOC3"/>
        <w:rPr>
          <w:rFonts w:asciiTheme="minorHAnsi" w:eastAsiaTheme="minorEastAsia" w:hAnsiTheme="minorHAnsi" w:cstheme="minorBidi"/>
          <w:noProof/>
          <w:color w:val="auto"/>
          <w:sz w:val="22"/>
          <w:szCs w:val="22"/>
        </w:rPr>
      </w:pPr>
      <w:hyperlink w:anchor="_Toc529783753" w:history="1">
        <w:r w:rsidR="004F0FC4" w:rsidRPr="000C7CE7">
          <w:rPr>
            <w:rStyle w:val="Hyperlink"/>
            <w:noProof/>
          </w:rPr>
          <w:t>2.1.6</w:t>
        </w:r>
        <w:r w:rsidR="004F0FC4">
          <w:rPr>
            <w:rFonts w:asciiTheme="minorHAnsi" w:eastAsiaTheme="minorEastAsia" w:hAnsiTheme="minorHAnsi" w:cstheme="minorBidi"/>
            <w:noProof/>
            <w:color w:val="auto"/>
            <w:sz w:val="22"/>
            <w:szCs w:val="22"/>
          </w:rPr>
          <w:tab/>
        </w:r>
        <w:r w:rsidR="004F0FC4" w:rsidRPr="000C7CE7">
          <w:rPr>
            <w:rStyle w:val="Hyperlink"/>
            <w:noProof/>
          </w:rPr>
          <w:t>Other legislation</w:t>
        </w:r>
        <w:r w:rsidR="004F0FC4">
          <w:rPr>
            <w:noProof/>
            <w:webHidden/>
          </w:rPr>
          <w:tab/>
        </w:r>
        <w:r w:rsidR="004F0FC4">
          <w:rPr>
            <w:noProof/>
            <w:webHidden/>
          </w:rPr>
          <w:fldChar w:fldCharType="begin"/>
        </w:r>
        <w:r w:rsidR="004F0FC4">
          <w:rPr>
            <w:noProof/>
            <w:webHidden/>
          </w:rPr>
          <w:instrText xml:space="preserve"> PAGEREF _Toc529783753 \h </w:instrText>
        </w:r>
        <w:r w:rsidR="004F0FC4">
          <w:rPr>
            <w:noProof/>
            <w:webHidden/>
          </w:rPr>
        </w:r>
        <w:r w:rsidR="004F0FC4">
          <w:rPr>
            <w:noProof/>
            <w:webHidden/>
          </w:rPr>
          <w:fldChar w:fldCharType="separate"/>
        </w:r>
        <w:r w:rsidR="004E4C48">
          <w:rPr>
            <w:noProof/>
            <w:webHidden/>
          </w:rPr>
          <w:t>10</w:t>
        </w:r>
        <w:r w:rsidR="004F0FC4">
          <w:rPr>
            <w:noProof/>
            <w:webHidden/>
          </w:rPr>
          <w:fldChar w:fldCharType="end"/>
        </w:r>
      </w:hyperlink>
    </w:p>
    <w:p w14:paraId="0F54E177" w14:textId="0F985C24" w:rsidR="004F0FC4" w:rsidRDefault="00DB7859">
      <w:pPr>
        <w:pStyle w:val="TOC2"/>
        <w:rPr>
          <w:rFonts w:asciiTheme="minorHAnsi" w:eastAsiaTheme="minorEastAsia" w:hAnsiTheme="minorHAnsi" w:cstheme="minorBidi"/>
          <w:noProof/>
          <w:color w:val="auto"/>
          <w:sz w:val="22"/>
          <w:szCs w:val="22"/>
        </w:rPr>
      </w:pPr>
      <w:hyperlink w:anchor="_Toc529783754" w:history="1">
        <w:r w:rsidR="004F0FC4" w:rsidRPr="000C7CE7">
          <w:rPr>
            <w:rStyle w:val="Hyperlink"/>
            <w:noProof/>
          </w:rPr>
          <w:t>2.2</w:t>
        </w:r>
        <w:r w:rsidR="004F0FC4">
          <w:rPr>
            <w:rFonts w:asciiTheme="minorHAnsi" w:eastAsiaTheme="minorEastAsia" w:hAnsiTheme="minorHAnsi" w:cstheme="minorBidi"/>
            <w:noProof/>
            <w:color w:val="auto"/>
            <w:sz w:val="22"/>
            <w:szCs w:val="22"/>
          </w:rPr>
          <w:tab/>
        </w:r>
        <w:r w:rsidR="004F0FC4" w:rsidRPr="000C7CE7">
          <w:rPr>
            <w:rStyle w:val="Hyperlink"/>
            <w:noProof/>
          </w:rPr>
          <w:t>Nonlegislative arrangements</w:t>
        </w:r>
        <w:r w:rsidR="004F0FC4">
          <w:rPr>
            <w:noProof/>
            <w:webHidden/>
          </w:rPr>
          <w:tab/>
        </w:r>
        <w:r w:rsidR="004F0FC4">
          <w:rPr>
            <w:noProof/>
            <w:webHidden/>
          </w:rPr>
          <w:fldChar w:fldCharType="begin"/>
        </w:r>
        <w:r w:rsidR="004F0FC4">
          <w:rPr>
            <w:noProof/>
            <w:webHidden/>
          </w:rPr>
          <w:instrText xml:space="preserve"> PAGEREF _Toc529783754 \h </w:instrText>
        </w:r>
        <w:r w:rsidR="004F0FC4">
          <w:rPr>
            <w:noProof/>
            <w:webHidden/>
          </w:rPr>
        </w:r>
        <w:r w:rsidR="004F0FC4">
          <w:rPr>
            <w:noProof/>
            <w:webHidden/>
          </w:rPr>
          <w:fldChar w:fldCharType="separate"/>
        </w:r>
        <w:r w:rsidR="004E4C48">
          <w:rPr>
            <w:noProof/>
            <w:webHidden/>
          </w:rPr>
          <w:t>11</w:t>
        </w:r>
        <w:r w:rsidR="004F0FC4">
          <w:rPr>
            <w:noProof/>
            <w:webHidden/>
          </w:rPr>
          <w:fldChar w:fldCharType="end"/>
        </w:r>
      </w:hyperlink>
    </w:p>
    <w:p w14:paraId="465A4F4C" w14:textId="01970D52" w:rsidR="004F0FC4" w:rsidRDefault="00DB7859">
      <w:pPr>
        <w:pStyle w:val="TOC3"/>
        <w:rPr>
          <w:rFonts w:asciiTheme="minorHAnsi" w:eastAsiaTheme="minorEastAsia" w:hAnsiTheme="minorHAnsi" w:cstheme="minorBidi"/>
          <w:noProof/>
          <w:color w:val="auto"/>
          <w:sz w:val="22"/>
          <w:szCs w:val="22"/>
        </w:rPr>
      </w:pPr>
      <w:hyperlink w:anchor="_Toc529783755" w:history="1">
        <w:r w:rsidR="004F0FC4" w:rsidRPr="000C7CE7">
          <w:rPr>
            <w:rStyle w:val="Hyperlink"/>
            <w:noProof/>
          </w:rPr>
          <w:t>2.2.1</w:t>
        </w:r>
        <w:r w:rsidR="004F0FC4">
          <w:rPr>
            <w:rFonts w:asciiTheme="minorHAnsi" w:eastAsiaTheme="minorEastAsia" w:hAnsiTheme="minorHAnsi" w:cstheme="minorBidi"/>
            <w:noProof/>
            <w:color w:val="auto"/>
            <w:sz w:val="22"/>
            <w:szCs w:val="22"/>
          </w:rPr>
          <w:tab/>
        </w:r>
        <w:r w:rsidR="004F0FC4" w:rsidRPr="000C7CE7">
          <w:rPr>
            <w:rStyle w:val="Hyperlink"/>
            <w:noProof/>
          </w:rPr>
          <w:t>AUSVETPLAN</w:t>
        </w:r>
        <w:r w:rsidR="004F0FC4">
          <w:rPr>
            <w:noProof/>
            <w:webHidden/>
          </w:rPr>
          <w:tab/>
        </w:r>
        <w:r w:rsidR="004F0FC4">
          <w:rPr>
            <w:noProof/>
            <w:webHidden/>
          </w:rPr>
          <w:fldChar w:fldCharType="begin"/>
        </w:r>
        <w:r w:rsidR="004F0FC4">
          <w:rPr>
            <w:noProof/>
            <w:webHidden/>
          </w:rPr>
          <w:instrText xml:space="preserve"> PAGEREF _Toc529783755 \h </w:instrText>
        </w:r>
        <w:r w:rsidR="004F0FC4">
          <w:rPr>
            <w:noProof/>
            <w:webHidden/>
          </w:rPr>
        </w:r>
        <w:r w:rsidR="004F0FC4">
          <w:rPr>
            <w:noProof/>
            <w:webHidden/>
          </w:rPr>
          <w:fldChar w:fldCharType="separate"/>
        </w:r>
        <w:r w:rsidR="004E4C48">
          <w:rPr>
            <w:noProof/>
            <w:webHidden/>
          </w:rPr>
          <w:t>11</w:t>
        </w:r>
        <w:r w:rsidR="004F0FC4">
          <w:rPr>
            <w:noProof/>
            <w:webHidden/>
          </w:rPr>
          <w:fldChar w:fldCharType="end"/>
        </w:r>
      </w:hyperlink>
    </w:p>
    <w:p w14:paraId="11A0F1E0" w14:textId="1CC92476" w:rsidR="004F0FC4" w:rsidRDefault="00DB7859">
      <w:pPr>
        <w:pStyle w:val="TOC3"/>
        <w:rPr>
          <w:rFonts w:asciiTheme="minorHAnsi" w:eastAsiaTheme="minorEastAsia" w:hAnsiTheme="minorHAnsi" w:cstheme="minorBidi"/>
          <w:noProof/>
          <w:color w:val="auto"/>
          <w:sz w:val="22"/>
          <w:szCs w:val="22"/>
        </w:rPr>
      </w:pPr>
      <w:hyperlink w:anchor="_Toc529783756" w:history="1">
        <w:r w:rsidR="004F0FC4" w:rsidRPr="000C7CE7">
          <w:rPr>
            <w:rStyle w:val="Hyperlink"/>
            <w:noProof/>
          </w:rPr>
          <w:t>2.2.2</w:t>
        </w:r>
        <w:r w:rsidR="004F0FC4">
          <w:rPr>
            <w:rFonts w:asciiTheme="minorHAnsi" w:eastAsiaTheme="minorEastAsia" w:hAnsiTheme="minorHAnsi" w:cstheme="minorBidi"/>
            <w:noProof/>
            <w:color w:val="auto"/>
            <w:sz w:val="22"/>
            <w:szCs w:val="22"/>
          </w:rPr>
          <w:tab/>
        </w:r>
        <w:r w:rsidR="004F0FC4" w:rsidRPr="000C7CE7">
          <w:rPr>
            <w:rStyle w:val="Hyperlink"/>
            <w:noProof/>
          </w:rPr>
          <w:t>National Environmental Biosecurity Response Agreement</w:t>
        </w:r>
        <w:r w:rsidR="004F0FC4">
          <w:rPr>
            <w:noProof/>
            <w:webHidden/>
          </w:rPr>
          <w:tab/>
        </w:r>
        <w:r w:rsidR="004F0FC4">
          <w:rPr>
            <w:noProof/>
            <w:webHidden/>
          </w:rPr>
          <w:fldChar w:fldCharType="begin"/>
        </w:r>
        <w:r w:rsidR="004F0FC4">
          <w:rPr>
            <w:noProof/>
            <w:webHidden/>
          </w:rPr>
          <w:instrText xml:space="preserve"> PAGEREF _Toc529783756 \h </w:instrText>
        </w:r>
        <w:r w:rsidR="004F0FC4">
          <w:rPr>
            <w:noProof/>
            <w:webHidden/>
          </w:rPr>
        </w:r>
        <w:r w:rsidR="004F0FC4">
          <w:rPr>
            <w:noProof/>
            <w:webHidden/>
          </w:rPr>
          <w:fldChar w:fldCharType="separate"/>
        </w:r>
        <w:r w:rsidR="004E4C48">
          <w:rPr>
            <w:noProof/>
            <w:webHidden/>
          </w:rPr>
          <w:t>12</w:t>
        </w:r>
        <w:r w:rsidR="004F0FC4">
          <w:rPr>
            <w:noProof/>
            <w:webHidden/>
          </w:rPr>
          <w:fldChar w:fldCharType="end"/>
        </w:r>
      </w:hyperlink>
    </w:p>
    <w:p w14:paraId="666BDAFD" w14:textId="6EADBE81" w:rsidR="004F0FC4" w:rsidRDefault="00DB7859">
      <w:pPr>
        <w:pStyle w:val="TOC3"/>
        <w:rPr>
          <w:rFonts w:asciiTheme="minorHAnsi" w:eastAsiaTheme="minorEastAsia" w:hAnsiTheme="minorHAnsi" w:cstheme="minorBidi"/>
          <w:noProof/>
          <w:color w:val="auto"/>
          <w:sz w:val="22"/>
          <w:szCs w:val="22"/>
        </w:rPr>
      </w:pPr>
      <w:hyperlink w:anchor="_Toc529783757" w:history="1">
        <w:r w:rsidR="004F0FC4" w:rsidRPr="000C7CE7">
          <w:rPr>
            <w:rStyle w:val="Hyperlink"/>
            <w:noProof/>
          </w:rPr>
          <w:t>2.2.3</w:t>
        </w:r>
        <w:r w:rsidR="004F0FC4">
          <w:rPr>
            <w:rFonts w:asciiTheme="minorHAnsi" w:eastAsiaTheme="minorEastAsia" w:hAnsiTheme="minorHAnsi" w:cstheme="minorBidi"/>
            <w:noProof/>
            <w:color w:val="auto"/>
            <w:sz w:val="22"/>
            <w:szCs w:val="22"/>
          </w:rPr>
          <w:tab/>
        </w:r>
        <w:r w:rsidR="004F0FC4" w:rsidRPr="000C7CE7">
          <w:rPr>
            <w:rStyle w:val="Hyperlink"/>
            <w:noProof/>
          </w:rPr>
          <w:t>Plans</w:t>
        </w:r>
        <w:r w:rsidR="004F0FC4">
          <w:rPr>
            <w:noProof/>
            <w:webHidden/>
          </w:rPr>
          <w:tab/>
        </w:r>
        <w:r w:rsidR="004F0FC4">
          <w:rPr>
            <w:noProof/>
            <w:webHidden/>
          </w:rPr>
          <w:fldChar w:fldCharType="begin"/>
        </w:r>
        <w:r w:rsidR="004F0FC4">
          <w:rPr>
            <w:noProof/>
            <w:webHidden/>
          </w:rPr>
          <w:instrText xml:space="preserve"> PAGEREF _Toc529783757 \h </w:instrText>
        </w:r>
        <w:r w:rsidR="004F0FC4">
          <w:rPr>
            <w:noProof/>
            <w:webHidden/>
          </w:rPr>
        </w:r>
        <w:r w:rsidR="004F0FC4">
          <w:rPr>
            <w:noProof/>
            <w:webHidden/>
          </w:rPr>
          <w:fldChar w:fldCharType="separate"/>
        </w:r>
        <w:r w:rsidR="004E4C48">
          <w:rPr>
            <w:noProof/>
            <w:webHidden/>
          </w:rPr>
          <w:t>13</w:t>
        </w:r>
        <w:r w:rsidR="004F0FC4">
          <w:rPr>
            <w:noProof/>
            <w:webHidden/>
          </w:rPr>
          <w:fldChar w:fldCharType="end"/>
        </w:r>
      </w:hyperlink>
    </w:p>
    <w:p w14:paraId="52BD1A17" w14:textId="2BD81E11" w:rsidR="004F0FC4" w:rsidRDefault="00DB7859">
      <w:pPr>
        <w:pStyle w:val="TOC3"/>
        <w:rPr>
          <w:rFonts w:asciiTheme="minorHAnsi" w:eastAsiaTheme="minorEastAsia" w:hAnsiTheme="minorHAnsi" w:cstheme="minorBidi"/>
          <w:noProof/>
          <w:color w:val="auto"/>
          <w:sz w:val="22"/>
          <w:szCs w:val="22"/>
        </w:rPr>
      </w:pPr>
      <w:hyperlink w:anchor="_Toc529783758" w:history="1">
        <w:r w:rsidR="004F0FC4" w:rsidRPr="000C7CE7">
          <w:rPr>
            <w:rStyle w:val="Hyperlink"/>
            <w:noProof/>
          </w:rPr>
          <w:t>2.2.4</w:t>
        </w:r>
        <w:r w:rsidR="004F0FC4">
          <w:rPr>
            <w:rFonts w:asciiTheme="minorHAnsi" w:eastAsiaTheme="minorEastAsia" w:hAnsiTheme="minorHAnsi" w:cstheme="minorBidi"/>
            <w:noProof/>
            <w:color w:val="auto"/>
            <w:sz w:val="22"/>
            <w:szCs w:val="22"/>
          </w:rPr>
          <w:tab/>
        </w:r>
        <w:r w:rsidR="004F0FC4" w:rsidRPr="000C7CE7">
          <w:rPr>
            <w:rStyle w:val="Hyperlink"/>
            <w:noProof/>
          </w:rPr>
          <w:t>Policies and standard operating procedures</w:t>
        </w:r>
        <w:r w:rsidR="004F0FC4">
          <w:rPr>
            <w:noProof/>
            <w:webHidden/>
          </w:rPr>
          <w:tab/>
        </w:r>
        <w:r w:rsidR="004F0FC4">
          <w:rPr>
            <w:noProof/>
            <w:webHidden/>
          </w:rPr>
          <w:fldChar w:fldCharType="begin"/>
        </w:r>
        <w:r w:rsidR="004F0FC4">
          <w:rPr>
            <w:noProof/>
            <w:webHidden/>
          </w:rPr>
          <w:instrText xml:space="preserve"> PAGEREF _Toc529783758 \h </w:instrText>
        </w:r>
        <w:r w:rsidR="004F0FC4">
          <w:rPr>
            <w:noProof/>
            <w:webHidden/>
          </w:rPr>
        </w:r>
        <w:r w:rsidR="004F0FC4">
          <w:rPr>
            <w:noProof/>
            <w:webHidden/>
          </w:rPr>
          <w:fldChar w:fldCharType="separate"/>
        </w:r>
        <w:r w:rsidR="004E4C48">
          <w:rPr>
            <w:noProof/>
            <w:webHidden/>
          </w:rPr>
          <w:t>13</w:t>
        </w:r>
        <w:r w:rsidR="004F0FC4">
          <w:rPr>
            <w:noProof/>
            <w:webHidden/>
          </w:rPr>
          <w:fldChar w:fldCharType="end"/>
        </w:r>
      </w:hyperlink>
    </w:p>
    <w:p w14:paraId="3B9EB9B3" w14:textId="1590A7C6" w:rsidR="004F0FC4" w:rsidRDefault="00DB7859">
      <w:pPr>
        <w:pStyle w:val="TOC1"/>
        <w:rPr>
          <w:rFonts w:asciiTheme="minorHAnsi" w:eastAsiaTheme="minorEastAsia" w:hAnsiTheme="minorHAnsi" w:cstheme="minorBidi"/>
          <w:b w:val="0"/>
          <w:bCs w:val="0"/>
          <w:color w:val="auto"/>
          <w:sz w:val="22"/>
          <w:szCs w:val="22"/>
        </w:rPr>
      </w:pPr>
      <w:hyperlink w:anchor="_Toc529783759" w:history="1">
        <w:r w:rsidR="004F0FC4" w:rsidRPr="000C7CE7">
          <w:rPr>
            <w:rStyle w:val="Hyperlink"/>
          </w:rPr>
          <w:t>3</w:t>
        </w:r>
        <w:r w:rsidR="004F0FC4">
          <w:rPr>
            <w:rFonts w:asciiTheme="minorHAnsi" w:eastAsiaTheme="minorEastAsia" w:hAnsiTheme="minorHAnsi" w:cstheme="minorBidi"/>
            <w:b w:val="0"/>
            <w:bCs w:val="0"/>
            <w:color w:val="auto"/>
            <w:sz w:val="22"/>
            <w:szCs w:val="22"/>
          </w:rPr>
          <w:tab/>
        </w:r>
        <w:r w:rsidR="004F0FC4" w:rsidRPr="000C7CE7">
          <w:rPr>
            <w:rStyle w:val="Hyperlink"/>
          </w:rPr>
          <w:t>Components of the response structure</w:t>
        </w:r>
        <w:r w:rsidR="004F0FC4">
          <w:rPr>
            <w:webHidden/>
          </w:rPr>
          <w:tab/>
        </w:r>
        <w:r w:rsidR="004F0FC4">
          <w:rPr>
            <w:webHidden/>
          </w:rPr>
          <w:fldChar w:fldCharType="begin"/>
        </w:r>
        <w:r w:rsidR="004F0FC4">
          <w:rPr>
            <w:webHidden/>
          </w:rPr>
          <w:instrText xml:space="preserve"> PAGEREF _Toc529783759 \h </w:instrText>
        </w:r>
        <w:r w:rsidR="004F0FC4">
          <w:rPr>
            <w:webHidden/>
          </w:rPr>
        </w:r>
        <w:r w:rsidR="004F0FC4">
          <w:rPr>
            <w:webHidden/>
          </w:rPr>
          <w:fldChar w:fldCharType="separate"/>
        </w:r>
        <w:r w:rsidR="004E4C48">
          <w:rPr>
            <w:webHidden/>
          </w:rPr>
          <w:t>15</w:t>
        </w:r>
        <w:r w:rsidR="004F0FC4">
          <w:rPr>
            <w:webHidden/>
          </w:rPr>
          <w:fldChar w:fldCharType="end"/>
        </w:r>
      </w:hyperlink>
    </w:p>
    <w:p w14:paraId="5346DD98" w14:textId="197E46AB" w:rsidR="004F0FC4" w:rsidRDefault="00DB7859">
      <w:pPr>
        <w:pStyle w:val="TOC2"/>
        <w:rPr>
          <w:rFonts w:asciiTheme="minorHAnsi" w:eastAsiaTheme="minorEastAsia" w:hAnsiTheme="minorHAnsi" w:cstheme="minorBidi"/>
          <w:noProof/>
          <w:color w:val="auto"/>
          <w:sz w:val="22"/>
          <w:szCs w:val="22"/>
        </w:rPr>
      </w:pPr>
      <w:hyperlink w:anchor="_Toc529783760" w:history="1">
        <w:r w:rsidR="004F0FC4" w:rsidRPr="000C7CE7">
          <w:rPr>
            <w:rStyle w:val="Hyperlink"/>
            <w:noProof/>
          </w:rPr>
          <w:t>3.1</w:t>
        </w:r>
        <w:r w:rsidR="004F0FC4">
          <w:rPr>
            <w:rFonts w:asciiTheme="minorHAnsi" w:eastAsiaTheme="minorEastAsia" w:hAnsiTheme="minorHAnsi" w:cstheme="minorBidi"/>
            <w:noProof/>
            <w:color w:val="auto"/>
            <w:sz w:val="22"/>
            <w:szCs w:val="22"/>
          </w:rPr>
          <w:tab/>
        </w:r>
        <w:r w:rsidR="004F0FC4" w:rsidRPr="000C7CE7">
          <w:rPr>
            <w:rStyle w:val="Hyperlink"/>
            <w:noProof/>
          </w:rPr>
          <w:t>Pre-incident arrangements and preparedness</w:t>
        </w:r>
        <w:r w:rsidR="004F0FC4">
          <w:rPr>
            <w:noProof/>
            <w:webHidden/>
          </w:rPr>
          <w:tab/>
        </w:r>
        <w:r w:rsidR="004F0FC4">
          <w:rPr>
            <w:noProof/>
            <w:webHidden/>
          </w:rPr>
          <w:fldChar w:fldCharType="begin"/>
        </w:r>
        <w:r w:rsidR="004F0FC4">
          <w:rPr>
            <w:noProof/>
            <w:webHidden/>
          </w:rPr>
          <w:instrText xml:space="preserve"> PAGEREF _Toc529783760 \h </w:instrText>
        </w:r>
        <w:r w:rsidR="004F0FC4">
          <w:rPr>
            <w:noProof/>
            <w:webHidden/>
          </w:rPr>
        </w:r>
        <w:r w:rsidR="004F0FC4">
          <w:rPr>
            <w:noProof/>
            <w:webHidden/>
          </w:rPr>
          <w:fldChar w:fldCharType="separate"/>
        </w:r>
        <w:r w:rsidR="004E4C48">
          <w:rPr>
            <w:noProof/>
            <w:webHidden/>
          </w:rPr>
          <w:t>15</w:t>
        </w:r>
        <w:r w:rsidR="004F0FC4">
          <w:rPr>
            <w:noProof/>
            <w:webHidden/>
          </w:rPr>
          <w:fldChar w:fldCharType="end"/>
        </w:r>
      </w:hyperlink>
    </w:p>
    <w:p w14:paraId="60AFFAB1" w14:textId="20BBF62E" w:rsidR="004F0FC4" w:rsidRDefault="00DB7859">
      <w:pPr>
        <w:pStyle w:val="TOC2"/>
        <w:rPr>
          <w:rFonts w:asciiTheme="minorHAnsi" w:eastAsiaTheme="minorEastAsia" w:hAnsiTheme="minorHAnsi" w:cstheme="minorBidi"/>
          <w:noProof/>
          <w:color w:val="auto"/>
          <w:sz w:val="22"/>
          <w:szCs w:val="22"/>
        </w:rPr>
      </w:pPr>
      <w:hyperlink w:anchor="_Toc529783761" w:history="1">
        <w:r w:rsidR="004F0FC4" w:rsidRPr="000C7CE7">
          <w:rPr>
            <w:rStyle w:val="Hyperlink"/>
            <w:noProof/>
          </w:rPr>
          <w:t>3.2</w:t>
        </w:r>
        <w:r w:rsidR="004F0FC4">
          <w:rPr>
            <w:rFonts w:asciiTheme="minorHAnsi" w:eastAsiaTheme="minorEastAsia" w:hAnsiTheme="minorHAnsi" w:cstheme="minorBidi"/>
            <w:noProof/>
            <w:color w:val="auto"/>
            <w:sz w:val="22"/>
            <w:szCs w:val="22"/>
          </w:rPr>
          <w:tab/>
        </w:r>
        <w:r w:rsidR="004F0FC4" w:rsidRPr="000C7CE7">
          <w:rPr>
            <w:rStyle w:val="Hyperlink"/>
            <w:noProof/>
          </w:rPr>
          <w:t>Response arrangements – whole of government</w:t>
        </w:r>
        <w:r w:rsidR="004F0FC4">
          <w:rPr>
            <w:noProof/>
            <w:webHidden/>
          </w:rPr>
          <w:tab/>
        </w:r>
        <w:r w:rsidR="004F0FC4">
          <w:rPr>
            <w:noProof/>
            <w:webHidden/>
          </w:rPr>
          <w:fldChar w:fldCharType="begin"/>
        </w:r>
        <w:r w:rsidR="004F0FC4">
          <w:rPr>
            <w:noProof/>
            <w:webHidden/>
          </w:rPr>
          <w:instrText xml:space="preserve"> PAGEREF _Toc529783761 \h </w:instrText>
        </w:r>
        <w:r w:rsidR="004F0FC4">
          <w:rPr>
            <w:noProof/>
            <w:webHidden/>
          </w:rPr>
        </w:r>
        <w:r w:rsidR="004F0FC4">
          <w:rPr>
            <w:noProof/>
            <w:webHidden/>
          </w:rPr>
          <w:fldChar w:fldCharType="separate"/>
        </w:r>
        <w:r w:rsidR="004E4C48">
          <w:rPr>
            <w:noProof/>
            <w:webHidden/>
          </w:rPr>
          <w:t>16</w:t>
        </w:r>
        <w:r w:rsidR="004F0FC4">
          <w:rPr>
            <w:noProof/>
            <w:webHidden/>
          </w:rPr>
          <w:fldChar w:fldCharType="end"/>
        </w:r>
      </w:hyperlink>
    </w:p>
    <w:p w14:paraId="5A313669" w14:textId="5B9B451E" w:rsidR="004F0FC4" w:rsidRDefault="00DB7859">
      <w:pPr>
        <w:pStyle w:val="TOC2"/>
        <w:rPr>
          <w:rFonts w:asciiTheme="minorHAnsi" w:eastAsiaTheme="minorEastAsia" w:hAnsiTheme="minorHAnsi" w:cstheme="minorBidi"/>
          <w:noProof/>
          <w:color w:val="auto"/>
          <w:sz w:val="22"/>
          <w:szCs w:val="22"/>
        </w:rPr>
      </w:pPr>
      <w:hyperlink w:anchor="_Toc529783762" w:history="1">
        <w:r w:rsidR="004F0FC4" w:rsidRPr="000C7CE7">
          <w:rPr>
            <w:rStyle w:val="Hyperlink"/>
            <w:noProof/>
          </w:rPr>
          <w:t>3.3</w:t>
        </w:r>
        <w:r w:rsidR="004F0FC4">
          <w:rPr>
            <w:rFonts w:asciiTheme="minorHAnsi" w:eastAsiaTheme="minorEastAsia" w:hAnsiTheme="minorHAnsi" w:cstheme="minorBidi"/>
            <w:noProof/>
            <w:color w:val="auto"/>
            <w:sz w:val="22"/>
            <w:szCs w:val="22"/>
          </w:rPr>
          <w:tab/>
        </w:r>
        <w:r w:rsidR="004F0FC4" w:rsidRPr="000C7CE7">
          <w:rPr>
            <w:rStyle w:val="Hyperlink"/>
            <w:noProof/>
          </w:rPr>
          <w:t>Response arrangements – national level</w:t>
        </w:r>
        <w:r w:rsidR="004F0FC4">
          <w:rPr>
            <w:noProof/>
            <w:webHidden/>
          </w:rPr>
          <w:tab/>
        </w:r>
        <w:r w:rsidR="004F0FC4">
          <w:rPr>
            <w:noProof/>
            <w:webHidden/>
          </w:rPr>
          <w:fldChar w:fldCharType="begin"/>
        </w:r>
        <w:r w:rsidR="004F0FC4">
          <w:rPr>
            <w:noProof/>
            <w:webHidden/>
          </w:rPr>
          <w:instrText xml:space="preserve"> PAGEREF _Toc529783762 \h </w:instrText>
        </w:r>
        <w:r w:rsidR="004F0FC4">
          <w:rPr>
            <w:noProof/>
            <w:webHidden/>
          </w:rPr>
        </w:r>
        <w:r w:rsidR="004F0FC4">
          <w:rPr>
            <w:noProof/>
            <w:webHidden/>
          </w:rPr>
          <w:fldChar w:fldCharType="separate"/>
        </w:r>
        <w:r w:rsidR="004E4C48">
          <w:rPr>
            <w:noProof/>
            <w:webHidden/>
          </w:rPr>
          <w:t>17</w:t>
        </w:r>
        <w:r w:rsidR="004F0FC4">
          <w:rPr>
            <w:noProof/>
            <w:webHidden/>
          </w:rPr>
          <w:fldChar w:fldCharType="end"/>
        </w:r>
      </w:hyperlink>
    </w:p>
    <w:p w14:paraId="2D013961" w14:textId="0F34D441" w:rsidR="004F0FC4" w:rsidRDefault="00DB7859">
      <w:pPr>
        <w:pStyle w:val="TOC3"/>
        <w:rPr>
          <w:rFonts w:asciiTheme="minorHAnsi" w:eastAsiaTheme="minorEastAsia" w:hAnsiTheme="minorHAnsi" w:cstheme="minorBidi"/>
          <w:noProof/>
          <w:color w:val="auto"/>
          <w:sz w:val="22"/>
          <w:szCs w:val="22"/>
        </w:rPr>
      </w:pPr>
      <w:hyperlink w:anchor="_Toc529783763" w:history="1">
        <w:r w:rsidR="004F0FC4" w:rsidRPr="000C7CE7">
          <w:rPr>
            <w:rStyle w:val="Hyperlink"/>
            <w:noProof/>
          </w:rPr>
          <w:t>3.3.1</w:t>
        </w:r>
        <w:r w:rsidR="004F0FC4">
          <w:rPr>
            <w:rFonts w:asciiTheme="minorHAnsi" w:eastAsiaTheme="minorEastAsia" w:hAnsiTheme="minorHAnsi" w:cstheme="minorBidi"/>
            <w:noProof/>
            <w:color w:val="auto"/>
            <w:sz w:val="22"/>
            <w:szCs w:val="22"/>
          </w:rPr>
          <w:tab/>
        </w:r>
        <w:r w:rsidR="004F0FC4" w:rsidRPr="000C7CE7">
          <w:rPr>
            <w:rStyle w:val="Hyperlink"/>
            <w:noProof/>
          </w:rPr>
          <w:t>National Biosecurity Management Group</w:t>
        </w:r>
        <w:r w:rsidR="004F0FC4">
          <w:rPr>
            <w:noProof/>
            <w:webHidden/>
          </w:rPr>
          <w:tab/>
        </w:r>
        <w:r w:rsidR="004F0FC4">
          <w:rPr>
            <w:noProof/>
            <w:webHidden/>
          </w:rPr>
          <w:fldChar w:fldCharType="begin"/>
        </w:r>
        <w:r w:rsidR="004F0FC4">
          <w:rPr>
            <w:noProof/>
            <w:webHidden/>
          </w:rPr>
          <w:instrText xml:space="preserve"> PAGEREF _Toc529783763 \h </w:instrText>
        </w:r>
        <w:r w:rsidR="004F0FC4">
          <w:rPr>
            <w:noProof/>
            <w:webHidden/>
          </w:rPr>
        </w:r>
        <w:r w:rsidR="004F0FC4">
          <w:rPr>
            <w:noProof/>
            <w:webHidden/>
          </w:rPr>
          <w:fldChar w:fldCharType="separate"/>
        </w:r>
        <w:r w:rsidR="004E4C48">
          <w:rPr>
            <w:noProof/>
            <w:webHidden/>
          </w:rPr>
          <w:t>17</w:t>
        </w:r>
        <w:r w:rsidR="004F0FC4">
          <w:rPr>
            <w:noProof/>
            <w:webHidden/>
          </w:rPr>
          <w:fldChar w:fldCharType="end"/>
        </w:r>
      </w:hyperlink>
    </w:p>
    <w:p w14:paraId="230312E9" w14:textId="66BEE536" w:rsidR="004F0FC4" w:rsidRDefault="00DB7859">
      <w:pPr>
        <w:pStyle w:val="TOC3"/>
        <w:rPr>
          <w:rFonts w:asciiTheme="minorHAnsi" w:eastAsiaTheme="minorEastAsia" w:hAnsiTheme="minorHAnsi" w:cstheme="minorBidi"/>
          <w:noProof/>
          <w:color w:val="auto"/>
          <w:sz w:val="22"/>
          <w:szCs w:val="22"/>
        </w:rPr>
      </w:pPr>
      <w:hyperlink w:anchor="_Toc529783764" w:history="1">
        <w:r w:rsidR="004F0FC4" w:rsidRPr="000C7CE7">
          <w:rPr>
            <w:rStyle w:val="Hyperlink"/>
            <w:noProof/>
          </w:rPr>
          <w:t>3.3.2</w:t>
        </w:r>
        <w:r w:rsidR="004F0FC4">
          <w:rPr>
            <w:rFonts w:asciiTheme="minorHAnsi" w:eastAsiaTheme="minorEastAsia" w:hAnsiTheme="minorHAnsi" w:cstheme="minorBidi"/>
            <w:noProof/>
            <w:color w:val="auto"/>
            <w:sz w:val="22"/>
            <w:szCs w:val="22"/>
          </w:rPr>
          <w:tab/>
        </w:r>
        <w:r w:rsidR="004F0FC4" w:rsidRPr="000C7CE7">
          <w:rPr>
            <w:rStyle w:val="Hyperlink"/>
            <w:noProof/>
          </w:rPr>
          <w:t>National Biosecurity Management Consultative Committee</w:t>
        </w:r>
        <w:r w:rsidR="004F0FC4">
          <w:rPr>
            <w:noProof/>
            <w:webHidden/>
          </w:rPr>
          <w:tab/>
        </w:r>
        <w:r w:rsidR="004F0FC4">
          <w:rPr>
            <w:noProof/>
            <w:webHidden/>
          </w:rPr>
          <w:fldChar w:fldCharType="begin"/>
        </w:r>
        <w:r w:rsidR="004F0FC4">
          <w:rPr>
            <w:noProof/>
            <w:webHidden/>
          </w:rPr>
          <w:instrText xml:space="preserve"> PAGEREF _Toc529783764 \h </w:instrText>
        </w:r>
        <w:r w:rsidR="004F0FC4">
          <w:rPr>
            <w:noProof/>
            <w:webHidden/>
          </w:rPr>
        </w:r>
        <w:r w:rsidR="004F0FC4">
          <w:rPr>
            <w:noProof/>
            <w:webHidden/>
          </w:rPr>
          <w:fldChar w:fldCharType="separate"/>
        </w:r>
        <w:r w:rsidR="004E4C48">
          <w:rPr>
            <w:noProof/>
            <w:webHidden/>
          </w:rPr>
          <w:t>18</w:t>
        </w:r>
        <w:r w:rsidR="004F0FC4">
          <w:rPr>
            <w:noProof/>
            <w:webHidden/>
          </w:rPr>
          <w:fldChar w:fldCharType="end"/>
        </w:r>
      </w:hyperlink>
    </w:p>
    <w:p w14:paraId="47F931DC" w14:textId="06AE8EEF" w:rsidR="004F0FC4" w:rsidRDefault="00DB7859">
      <w:pPr>
        <w:pStyle w:val="TOC3"/>
        <w:rPr>
          <w:rFonts w:asciiTheme="minorHAnsi" w:eastAsiaTheme="minorEastAsia" w:hAnsiTheme="minorHAnsi" w:cstheme="minorBidi"/>
          <w:noProof/>
          <w:color w:val="auto"/>
          <w:sz w:val="22"/>
          <w:szCs w:val="22"/>
        </w:rPr>
      </w:pPr>
      <w:hyperlink w:anchor="_Toc529783765" w:history="1">
        <w:r w:rsidR="004F0FC4" w:rsidRPr="000C7CE7">
          <w:rPr>
            <w:rStyle w:val="Hyperlink"/>
            <w:noProof/>
          </w:rPr>
          <w:t>3.3.3</w:t>
        </w:r>
        <w:r w:rsidR="004F0FC4">
          <w:rPr>
            <w:rFonts w:asciiTheme="minorHAnsi" w:eastAsiaTheme="minorEastAsia" w:hAnsiTheme="minorHAnsi" w:cstheme="minorBidi"/>
            <w:noProof/>
            <w:color w:val="auto"/>
            <w:sz w:val="22"/>
            <w:szCs w:val="22"/>
          </w:rPr>
          <w:tab/>
        </w:r>
        <w:r w:rsidR="004F0FC4" w:rsidRPr="000C7CE7">
          <w:rPr>
            <w:rStyle w:val="Hyperlink"/>
            <w:noProof/>
          </w:rPr>
          <w:t>Technical review group, and scientific advisory group or panel</w:t>
        </w:r>
        <w:r w:rsidR="004F0FC4">
          <w:rPr>
            <w:noProof/>
            <w:webHidden/>
          </w:rPr>
          <w:tab/>
        </w:r>
        <w:r w:rsidR="004F0FC4">
          <w:rPr>
            <w:noProof/>
            <w:webHidden/>
          </w:rPr>
          <w:fldChar w:fldCharType="begin"/>
        </w:r>
        <w:r w:rsidR="004F0FC4">
          <w:rPr>
            <w:noProof/>
            <w:webHidden/>
          </w:rPr>
          <w:instrText xml:space="preserve"> PAGEREF _Toc529783765 \h </w:instrText>
        </w:r>
        <w:r w:rsidR="004F0FC4">
          <w:rPr>
            <w:noProof/>
            <w:webHidden/>
          </w:rPr>
        </w:r>
        <w:r w:rsidR="004F0FC4">
          <w:rPr>
            <w:noProof/>
            <w:webHidden/>
          </w:rPr>
          <w:fldChar w:fldCharType="separate"/>
        </w:r>
        <w:r w:rsidR="004E4C48">
          <w:rPr>
            <w:noProof/>
            <w:webHidden/>
          </w:rPr>
          <w:t>19</w:t>
        </w:r>
        <w:r w:rsidR="004F0FC4">
          <w:rPr>
            <w:noProof/>
            <w:webHidden/>
          </w:rPr>
          <w:fldChar w:fldCharType="end"/>
        </w:r>
      </w:hyperlink>
    </w:p>
    <w:p w14:paraId="3DFAAE1F" w14:textId="3F7E8A48" w:rsidR="004F0FC4" w:rsidRDefault="00DB7859">
      <w:pPr>
        <w:pStyle w:val="TOC2"/>
        <w:rPr>
          <w:rFonts w:asciiTheme="minorHAnsi" w:eastAsiaTheme="minorEastAsia" w:hAnsiTheme="minorHAnsi" w:cstheme="minorBidi"/>
          <w:noProof/>
          <w:color w:val="auto"/>
          <w:sz w:val="22"/>
          <w:szCs w:val="22"/>
        </w:rPr>
      </w:pPr>
      <w:hyperlink w:anchor="_Toc529783766" w:history="1">
        <w:r w:rsidR="004F0FC4" w:rsidRPr="000C7CE7">
          <w:rPr>
            <w:rStyle w:val="Hyperlink"/>
            <w:noProof/>
          </w:rPr>
          <w:t>3.4</w:t>
        </w:r>
        <w:r w:rsidR="004F0FC4">
          <w:rPr>
            <w:rFonts w:asciiTheme="minorHAnsi" w:eastAsiaTheme="minorEastAsia" w:hAnsiTheme="minorHAnsi" w:cstheme="minorBidi"/>
            <w:noProof/>
            <w:color w:val="auto"/>
            <w:sz w:val="22"/>
            <w:szCs w:val="22"/>
          </w:rPr>
          <w:tab/>
        </w:r>
        <w:r w:rsidR="004F0FC4" w:rsidRPr="000C7CE7">
          <w:rPr>
            <w:rStyle w:val="Hyperlink"/>
            <w:noProof/>
          </w:rPr>
          <w:t>Response arrangements – state and territory level</w:t>
        </w:r>
        <w:r w:rsidR="004F0FC4">
          <w:rPr>
            <w:noProof/>
            <w:webHidden/>
          </w:rPr>
          <w:tab/>
        </w:r>
        <w:r w:rsidR="004F0FC4">
          <w:rPr>
            <w:noProof/>
            <w:webHidden/>
          </w:rPr>
          <w:fldChar w:fldCharType="begin"/>
        </w:r>
        <w:r w:rsidR="004F0FC4">
          <w:rPr>
            <w:noProof/>
            <w:webHidden/>
          </w:rPr>
          <w:instrText xml:space="preserve"> PAGEREF _Toc529783766 \h </w:instrText>
        </w:r>
        <w:r w:rsidR="004F0FC4">
          <w:rPr>
            <w:noProof/>
            <w:webHidden/>
          </w:rPr>
        </w:r>
        <w:r w:rsidR="004F0FC4">
          <w:rPr>
            <w:noProof/>
            <w:webHidden/>
          </w:rPr>
          <w:fldChar w:fldCharType="separate"/>
        </w:r>
        <w:r w:rsidR="004E4C48">
          <w:rPr>
            <w:noProof/>
            <w:webHidden/>
          </w:rPr>
          <w:t>19</w:t>
        </w:r>
        <w:r w:rsidR="004F0FC4">
          <w:rPr>
            <w:noProof/>
            <w:webHidden/>
          </w:rPr>
          <w:fldChar w:fldCharType="end"/>
        </w:r>
      </w:hyperlink>
    </w:p>
    <w:p w14:paraId="54F6B600" w14:textId="32570C61" w:rsidR="004F0FC4" w:rsidRDefault="00DB7859">
      <w:pPr>
        <w:pStyle w:val="TOC3"/>
        <w:rPr>
          <w:rFonts w:asciiTheme="minorHAnsi" w:eastAsiaTheme="minorEastAsia" w:hAnsiTheme="minorHAnsi" w:cstheme="minorBidi"/>
          <w:noProof/>
          <w:color w:val="auto"/>
          <w:sz w:val="22"/>
          <w:szCs w:val="22"/>
        </w:rPr>
      </w:pPr>
      <w:hyperlink w:anchor="_Toc529783767" w:history="1">
        <w:r w:rsidR="004F0FC4" w:rsidRPr="000C7CE7">
          <w:rPr>
            <w:rStyle w:val="Hyperlink"/>
            <w:noProof/>
          </w:rPr>
          <w:t>3.4.1</w:t>
        </w:r>
        <w:r w:rsidR="004F0FC4">
          <w:rPr>
            <w:rFonts w:asciiTheme="minorHAnsi" w:eastAsiaTheme="minorEastAsia" w:hAnsiTheme="minorHAnsi" w:cstheme="minorBidi"/>
            <w:noProof/>
            <w:color w:val="auto"/>
            <w:sz w:val="22"/>
            <w:szCs w:val="22"/>
          </w:rPr>
          <w:tab/>
        </w:r>
        <w:r w:rsidR="004F0FC4" w:rsidRPr="000C7CE7">
          <w:rPr>
            <w:rStyle w:val="Hyperlink"/>
            <w:noProof/>
          </w:rPr>
          <w:t>State and territory agency support plans</w:t>
        </w:r>
        <w:r w:rsidR="004F0FC4">
          <w:rPr>
            <w:noProof/>
            <w:webHidden/>
          </w:rPr>
          <w:tab/>
        </w:r>
        <w:r w:rsidR="004F0FC4">
          <w:rPr>
            <w:noProof/>
            <w:webHidden/>
          </w:rPr>
          <w:fldChar w:fldCharType="begin"/>
        </w:r>
        <w:r w:rsidR="004F0FC4">
          <w:rPr>
            <w:noProof/>
            <w:webHidden/>
          </w:rPr>
          <w:instrText xml:space="preserve"> PAGEREF _Toc529783767 \h </w:instrText>
        </w:r>
        <w:r w:rsidR="004F0FC4">
          <w:rPr>
            <w:noProof/>
            <w:webHidden/>
          </w:rPr>
        </w:r>
        <w:r w:rsidR="004F0FC4">
          <w:rPr>
            <w:noProof/>
            <w:webHidden/>
          </w:rPr>
          <w:fldChar w:fldCharType="separate"/>
        </w:r>
        <w:r w:rsidR="004E4C48">
          <w:rPr>
            <w:noProof/>
            <w:webHidden/>
          </w:rPr>
          <w:t>19</w:t>
        </w:r>
        <w:r w:rsidR="004F0FC4">
          <w:rPr>
            <w:noProof/>
            <w:webHidden/>
          </w:rPr>
          <w:fldChar w:fldCharType="end"/>
        </w:r>
      </w:hyperlink>
    </w:p>
    <w:p w14:paraId="17B0F691" w14:textId="3E996599" w:rsidR="004F0FC4" w:rsidRDefault="00DB7859">
      <w:pPr>
        <w:pStyle w:val="TOC3"/>
        <w:rPr>
          <w:rFonts w:asciiTheme="minorHAnsi" w:eastAsiaTheme="minorEastAsia" w:hAnsiTheme="minorHAnsi" w:cstheme="minorBidi"/>
          <w:noProof/>
          <w:color w:val="auto"/>
          <w:sz w:val="22"/>
          <w:szCs w:val="22"/>
        </w:rPr>
      </w:pPr>
      <w:hyperlink w:anchor="_Toc529783768" w:history="1">
        <w:r w:rsidR="004F0FC4" w:rsidRPr="000C7CE7">
          <w:rPr>
            <w:rStyle w:val="Hyperlink"/>
            <w:noProof/>
          </w:rPr>
          <w:t>3.4.2</w:t>
        </w:r>
        <w:r w:rsidR="004F0FC4">
          <w:rPr>
            <w:rFonts w:asciiTheme="minorHAnsi" w:eastAsiaTheme="minorEastAsia" w:hAnsiTheme="minorHAnsi" w:cstheme="minorBidi"/>
            <w:noProof/>
            <w:color w:val="auto"/>
            <w:sz w:val="22"/>
            <w:szCs w:val="22"/>
          </w:rPr>
          <w:tab/>
        </w:r>
        <w:r w:rsidR="004F0FC4" w:rsidRPr="000C7CE7">
          <w:rPr>
            <w:rStyle w:val="Hyperlink"/>
            <w:noProof/>
          </w:rPr>
          <w:t>Command, control and coordination</w:t>
        </w:r>
        <w:r w:rsidR="004F0FC4">
          <w:rPr>
            <w:noProof/>
            <w:webHidden/>
          </w:rPr>
          <w:tab/>
        </w:r>
        <w:r w:rsidR="004F0FC4">
          <w:rPr>
            <w:noProof/>
            <w:webHidden/>
          </w:rPr>
          <w:fldChar w:fldCharType="begin"/>
        </w:r>
        <w:r w:rsidR="004F0FC4">
          <w:rPr>
            <w:noProof/>
            <w:webHidden/>
          </w:rPr>
          <w:instrText xml:space="preserve"> PAGEREF _Toc529783768 \h </w:instrText>
        </w:r>
        <w:r w:rsidR="004F0FC4">
          <w:rPr>
            <w:noProof/>
            <w:webHidden/>
          </w:rPr>
        </w:r>
        <w:r w:rsidR="004F0FC4">
          <w:rPr>
            <w:noProof/>
            <w:webHidden/>
          </w:rPr>
          <w:fldChar w:fldCharType="separate"/>
        </w:r>
        <w:r w:rsidR="004E4C48">
          <w:rPr>
            <w:noProof/>
            <w:webHidden/>
          </w:rPr>
          <w:t>19</w:t>
        </w:r>
        <w:r w:rsidR="004F0FC4">
          <w:rPr>
            <w:noProof/>
            <w:webHidden/>
          </w:rPr>
          <w:fldChar w:fldCharType="end"/>
        </w:r>
      </w:hyperlink>
    </w:p>
    <w:p w14:paraId="7AEFE6F9" w14:textId="09064922" w:rsidR="004F0FC4" w:rsidRDefault="00DB7859">
      <w:pPr>
        <w:pStyle w:val="TOC3"/>
        <w:rPr>
          <w:rFonts w:asciiTheme="minorHAnsi" w:eastAsiaTheme="minorEastAsia" w:hAnsiTheme="minorHAnsi" w:cstheme="minorBidi"/>
          <w:noProof/>
          <w:color w:val="auto"/>
          <w:sz w:val="22"/>
          <w:szCs w:val="22"/>
        </w:rPr>
      </w:pPr>
      <w:hyperlink w:anchor="_Toc529783769" w:history="1">
        <w:r w:rsidR="004F0FC4" w:rsidRPr="000C7CE7">
          <w:rPr>
            <w:rStyle w:val="Hyperlink"/>
            <w:noProof/>
          </w:rPr>
          <w:t>3.4.3</w:t>
        </w:r>
        <w:r w:rsidR="004F0FC4">
          <w:rPr>
            <w:rFonts w:asciiTheme="minorHAnsi" w:eastAsiaTheme="minorEastAsia" w:hAnsiTheme="minorHAnsi" w:cstheme="minorBidi"/>
            <w:noProof/>
            <w:color w:val="auto"/>
            <w:sz w:val="22"/>
            <w:szCs w:val="22"/>
          </w:rPr>
          <w:tab/>
        </w:r>
        <w:r w:rsidR="004F0FC4" w:rsidRPr="000C7CE7">
          <w:rPr>
            <w:rStyle w:val="Hyperlink"/>
            <w:noProof/>
          </w:rPr>
          <w:t>State</w:t>
        </w:r>
        <w:r w:rsidR="004F0FC4" w:rsidRPr="000C7CE7">
          <w:rPr>
            <w:rStyle w:val="Hyperlink"/>
            <w:rFonts w:cstheme="minorHAnsi"/>
            <w:noProof/>
          </w:rPr>
          <w:t xml:space="preserve"> and </w:t>
        </w:r>
        <w:r w:rsidR="004F0FC4" w:rsidRPr="000C7CE7">
          <w:rPr>
            <w:rStyle w:val="Hyperlink"/>
            <w:noProof/>
          </w:rPr>
          <w:t>territory coordination</w:t>
        </w:r>
        <w:r w:rsidR="004F0FC4">
          <w:rPr>
            <w:noProof/>
            <w:webHidden/>
          </w:rPr>
          <w:tab/>
        </w:r>
        <w:r w:rsidR="004F0FC4">
          <w:rPr>
            <w:noProof/>
            <w:webHidden/>
          </w:rPr>
          <w:fldChar w:fldCharType="begin"/>
        </w:r>
        <w:r w:rsidR="004F0FC4">
          <w:rPr>
            <w:noProof/>
            <w:webHidden/>
          </w:rPr>
          <w:instrText xml:space="preserve"> PAGEREF _Toc529783769 \h </w:instrText>
        </w:r>
        <w:r w:rsidR="004F0FC4">
          <w:rPr>
            <w:noProof/>
            <w:webHidden/>
          </w:rPr>
        </w:r>
        <w:r w:rsidR="004F0FC4">
          <w:rPr>
            <w:noProof/>
            <w:webHidden/>
          </w:rPr>
          <w:fldChar w:fldCharType="separate"/>
        </w:r>
        <w:r w:rsidR="004E4C48">
          <w:rPr>
            <w:noProof/>
            <w:webHidden/>
          </w:rPr>
          <w:t>21</w:t>
        </w:r>
        <w:r w:rsidR="004F0FC4">
          <w:rPr>
            <w:noProof/>
            <w:webHidden/>
          </w:rPr>
          <w:fldChar w:fldCharType="end"/>
        </w:r>
      </w:hyperlink>
    </w:p>
    <w:p w14:paraId="607CD78A" w14:textId="44ED2E72" w:rsidR="004F0FC4" w:rsidRDefault="00DB7859">
      <w:pPr>
        <w:pStyle w:val="TOC2"/>
        <w:rPr>
          <w:rFonts w:asciiTheme="minorHAnsi" w:eastAsiaTheme="minorEastAsia" w:hAnsiTheme="minorHAnsi" w:cstheme="minorBidi"/>
          <w:noProof/>
          <w:color w:val="auto"/>
          <w:sz w:val="22"/>
          <w:szCs w:val="22"/>
        </w:rPr>
      </w:pPr>
      <w:hyperlink w:anchor="_Toc529783770" w:history="1">
        <w:r w:rsidR="004F0FC4" w:rsidRPr="000C7CE7">
          <w:rPr>
            <w:rStyle w:val="Hyperlink"/>
            <w:noProof/>
          </w:rPr>
          <w:t>3.5</w:t>
        </w:r>
        <w:r w:rsidR="004F0FC4">
          <w:rPr>
            <w:rFonts w:asciiTheme="minorHAnsi" w:eastAsiaTheme="minorEastAsia" w:hAnsiTheme="minorHAnsi" w:cstheme="minorBidi"/>
            <w:noProof/>
            <w:color w:val="auto"/>
            <w:sz w:val="22"/>
            <w:szCs w:val="22"/>
          </w:rPr>
          <w:tab/>
        </w:r>
        <w:r w:rsidR="004F0FC4" w:rsidRPr="000C7CE7">
          <w:rPr>
            <w:rStyle w:val="Hyperlink"/>
            <w:noProof/>
          </w:rPr>
          <w:t>Response arrangements – regional or local level</w:t>
        </w:r>
        <w:r w:rsidR="004F0FC4">
          <w:rPr>
            <w:noProof/>
            <w:webHidden/>
          </w:rPr>
          <w:tab/>
        </w:r>
        <w:r w:rsidR="004F0FC4">
          <w:rPr>
            <w:noProof/>
            <w:webHidden/>
          </w:rPr>
          <w:fldChar w:fldCharType="begin"/>
        </w:r>
        <w:r w:rsidR="004F0FC4">
          <w:rPr>
            <w:noProof/>
            <w:webHidden/>
          </w:rPr>
          <w:instrText xml:space="preserve"> PAGEREF _Toc529783770 \h </w:instrText>
        </w:r>
        <w:r w:rsidR="004F0FC4">
          <w:rPr>
            <w:noProof/>
            <w:webHidden/>
          </w:rPr>
        </w:r>
        <w:r w:rsidR="004F0FC4">
          <w:rPr>
            <w:noProof/>
            <w:webHidden/>
          </w:rPr>
          <w:fldChar w:fldCharType="separate"/>
        </w:r>
        <w:r w:rsidR="004E4C48">
          <w:rPr>
            <w:noProof/>
            <w:webHidden/>
          </w:rPr>
          <w:t>22</w:t>
        </w:r>
        <w:r w:rsidR="004F0FC4">
          <w:rPr>
            <w:noProof/>
            <w:webHidden/>
          </w:rPr>
          <w:fldChar w:fldCharType="end"/>
        </w:r>
      </w:hyperlink>
    </w:p>
    <w:p w14:paraId="3065B75B" w14:textId="741DA392" w:rsidR="004F0FC4" w:rsidRDefault="00DB7859">
      <w:pPr>
        <w:pStyle w:val="TOC2"/>
        <w:rPr>
          <w:rFonts w:asciiTheme="minorHAnsi" w:eastAsiaTheme="minorEastAsia" w:hAnsiTheme="minorHAnsi" w:cstheme="minorBidi"/>
          <w:noProof/>
          <w:color w:val="auto"/>
          <w:sz w:val="22"/>
          <w:szCs w:val="22"/>
        </w:rPr>
      </w:pPr>
      <w:hyperlink w:anchor="_Toc529783771" w:history="1">
        <w:r w:rsidR="004F0FC4" w:rsidRPr="000C7CE7">
          <w:rPr>
            <w:rStyle w:val="Hyperlink"/>
            <w:noProof/>
          </w:rPr>
          <w:t>3.6</w:t>
        </w:r>
        <w:r w:rsidR="004F0FC4">
          <w:rPr>
            <w:rFonts w:asciiTheme="minorHAnsi" w:eastAsiaTheme="minorEastAsia" w:hAnsiTheme="minorHAnsi" w:cstheme="minorBidi"/>
            <w:noProof/>
            <w:color w:val="auto"/>
            <w:sz w:val="22"/>
            <w:szCs w:val="22"/>
          </w:rPr>
          <w:tab/>
        </w:r>
        <w:r w:rsidR="004F0FC4" w:rsidRPr="000C7CE7">
          <w:rPr>
            <w:rStyle w:val="Hyperlink"/>
            <w:noProof/>
          </w:rPr>
          <w:t>Wildlife Health Australia</w:t>
        </w:r>
        <w:r w:rsidR="004F0FC4">
          <w:rPr>
            <w:noProof/>
            <w:webHidden/>
          </w:rPr>
          <w:tab/>
        </w:r>
        <w:r w:rsidR="004F0FC4">
          <w:rPr>
            <w:noProof/>
            <w:webHidden/>
          </w:rPr>
          <w:fldChar w:fldCharType="begin"/>
        </w:r>
        <w:r w:rsidR="004F0FC4">
          <w:rPr>
            <w:noProof/>
            <w:webHidden/>
          </w:rPr>
          <w:instrText xml:space="preserve"> PAGEREF _Toc529783771 \h </w:instrText>
        </w:r>
        <w:r w:rsidR="004F0FC4">
          <w:rPr>
            <w:noProof/>
            <w:webHidden/>
          </w:rPr>
        </w:r>
        <w:r w:rsidR="004F0FC4">
          <w:rPr>
            <w:noProof/>
            <w:webHidden/>
          </w:rPr>
          <w:fldChar w:fldCharType="separate"/>
        </w:r>
        <w:r w:rsidR="004E4C48">
          <w:rPr>
            <w:noProof/>
            <w:webHidden/>
          </w:rPr>
          <w:t>23</w:t>
        </w:r>
        <w:r w:rsidR="004F0FC4">
          <w:rPr>
            <w:noProof/>
            <w:webHidden/>
          </w:rPr>
          <w:fldChar w:fldCharType="end"/>
        </w:r>
      </w:hyperlink>
    </w:p>
    <w:p w14:paraId="4937D8F4" w14:textId="4E92CAF5" w:rsidR="004F0FC4" w:rsidRDefault="00DB7859">
      <w:pPr>
        <w:pStyle w:val="TOC2"/>
        <w:rPr>
          <w:rFonts w:asciiTheme="minorHAnsi" w:eastAsiaTheme="minorEastAsia" w:hAnsiTheme="minorHAnsi" w:cstheme="minorBidi"/>
          <w:noProof/>
          <w:color w:val="auto"/>
          <w:sz w:val="22"/>
          <w:szCs w:val="22"/>
        </w:rPr>
      </w:pPr>
      <w:hyperlink w:anchor="_Toc529783772" w:history="1">
        <w:r w:rsidR="004F0FC4" w:rsidRPr="000C7CE7">
          <w:rPr>
            <w:rStyle w:val="Hyperlink"/>
            <w:noProof/>
          </w:rPr>
          <w:t>3.7</w:t>
        </w:r>
        <w:r w:rsidR="004F0FC4">
          <w:rPr>
            <w:rFonts w:asciiTheme="minorHAnsi" w:eastAsiaTheme="minorEastAsia" w:hAnsiTheme="minorHAnsi" w:cstheme="minorBidi"/>
            <w:noProof/>
            <w:color w:val="auto"/>
            <w:sz w:val="22"/>
            <w:szCs w:val="22"/>
          </w:rPr>
          <w:tab/>
        </w:r>
        <w:r w:rsidR="004F0FC4" w:rsidRPr="000C7CE7">
          <w:rPr>
            <w:rStyle w:val="Hyperlink"/>
            <w:noProof/>
          </w:rPr>
          <w:t>Wildlife health partners</w:t>
        </w:r>
        <w:r w:rsidR="004F0FC4">
          <w:rPr>
            <w:noProof/>
            <w:webHidden/>
          </w:rPr>
          <w:tab/>
        </w:r>
        <w:r w:rsidR="004F0FC4">
          <w:rPr>
            <w:noProof/>
            <w:webHidden/>
          </w:rPr>
          <w:fldChar w:fldCharType="begin"/>
        </w:r>
        <w:r w:rsidR="004F0FC4">
          <w:rPr>
            <w:noProof/>
            <w:webHidden/>
          </w:rPr>
          <w:instrText xml:space="preserve"> PAGEREF _Toc529783772 \h </w:instrText>
        </w:r>
        <w:r w:rsidR="004F0FC4">
          <w:rPr>
            <w:noProof/>
            <w:webHidden/>
          </w:rPr>
        </w:r>
        <w:r w:rsidR="004F0FC4">
          <w:rPr>
            <w:noProof/>
            <w:webHidden/>
          </w:rPr>
          <w:fldChar w:fldCharType="separate"/>
        </w:r>
        <w:r w:rsidR="004E4C48">
          <w:rPr>
            <w:noProof/>
            <w:webHidden/>
          </w:rPr>
          <w:t>23</w:t>
        </w:r>
        <w:r w:rsidR="004F0FC4">
          <w:rPr>
            <w:noProof/>
            <w:webHidden/>
          </w:rPr>
          <w:fldChar w:fldCharType="end"/>
        </w:r>
      </w:hyperlink>
    </w:p>
    <w:p w14:paraId="7E8AD9A2" w14:textId="20721D4E" w:rsidR="004F0FC4" w:rsidRDefault="00DB7859">
      <w:pPr>
        <w:pStyle w:val="TOC2"/>
        <w:rPr>
          <w:rFonts w:asciiTheme="minorHAnsi" w:eastAsiaTheme="minorEastAsia" w:hAnsiTheme="minorHAnsi" w:cstheme="minorBidi"/>
          <w:noProof/>
          <w:color w:val="auto"/>
          <w:sz w:val="22"/>
          <w:szCs w:val="22"/>
        </w:rPr>
      </w:pPr>
      <w:hyperlink w:anchor="_Toc529783773" w:history="1">
        <w:r w:rsidR="004F0FC4" w:rsidRPr="000C7CE7">
          <w:rPr>
            <w:rStyle w:val="Hyperlink"/>
            <w:noProof/>
          </w:rPr>
          <w:t>3.8</w:t>
        </w:r>
        <w:r w:rsidR="004F0FC4">
          <w:rPr>
            <w:rFonts w:asciiTheme="minorHAnsi" w:eastAsiaTheme="minorEastAsia" w:hAnsiTheme="minorHAnsi" w:cstheme="minorBidi"/>
            <w:noProof/>
            <w:color w:val="auto"/>
            <w:sz w:val="22"/>
            <w:szCs w:val="22"/>
          </w:rPr>
          <w:tab/>
        </w:r>
        <w:r w:rsidR="004F0FC4" w:rsidRPr="000C7CE7">
          <w:rPr>
            <w:rStyle w:val="Hyperlink"/>
            <w:noProof/>
          </w:rPr>
          <w:t>Qualifications and training</w:t>
        </w:r>
        <w:r w:rsidR="004F0FC4">
          <w:rPr>
            <w:noProof/>
            <w:webHidden/>
          </w:rPr>
          <w:tab/>
        </w:r>
        <w:r w:rsidR="004F0FC4">
          <w:rPr>
            <w:noProof/>
            <w:webHidden/>
          </w:rPr>
          <w:fldChar w:fldCharType="begin"/>
        </w:r>
        <w:r w:rsidR="004F0FC4">
          <w:rPr>
            <w:noProof/>
            <w:webHidden/>
          </w:rPr>
          <w:instrText xml:space="preserve"> PAGEREF _Toc529783773 \h </w:instrText>
        </w:r>
        <w:r w:rsidR="004F0FC4">
          <w:rPr>
            <w:noProof/>
            <w:webHidden/>
          </w:rPr>
        </w:r>
        <w:r w:rsidR="004F0FC4">
          <w:rPr>
            <w:noProof/>
            <w:webHidden/>
          </w:rPr>
          <w:fldChar w:fldCharType="separate"/>
        </w:r>
        <w:r w:rsidR="004E4C48">
          <w:rPr>
            <w:noProof/>
            <w:webHidden/>
          </w:rPr>
          <w:t>24</w:t>
        </w:r>
        <w:r w:rsidR="004F0FC4">
          <w:rPr>
            <w:noProof/>
            <w:webHidden/>
          </w:rPr>
          <w:fldChar w:fldCharType="end"/>
        </w:r>
      </w:hyperlink>
    </w:p>
    <w:p w14:paraId="2FCC299E" w14:textId="6DEF76E7" w:rsidR="004F0FC4" w:rsidRDefault="00DB7859">
      <w:pPr>
        <w:pStyle w:val="TOC3"/>
        <w:rPr>
          <w:rFonts w:asciiTheme="minorHAnsi" w:eastAsiaTheme="minorEastAsia" w:hAnsiTheme="minorHAnsi" w:cstheme="minorBidi"/>
          <w:noProof/>
          <w:color w:val="auto"/>
          <w:sz w:val="22"/>
          <w:szCs w:val="22"/>
        </w:rPr>
      </w:pPr>
      <w:hyperlink w:anchor="_Toc529783774" w:history="1">
        <w:r w:rsidR="004F0FC4" w:rsidRPr="000C7CE7">
          <w:rPr>
            <w:rStyle w:val="Hyperlink"/>
            <w:noProof/>
          </w:rPr>
          <w:t>3.8.1</w:t>
        </w:r>
        <w:r w:rsidR="004F0FC4">
          <w:rPr>
            <w:rFonts w:asciiTheme="minorHAnsi" w:eastAsiaTheme="minorEastAsia" w:hAnsiTheme="minorHAnsi" w:cstheme="minorBidi"/>
            <w:noProof/>
            <w:color w:val="auto"/>
            <w:sz w:val="22"/>
            <w:szCs w:val="22"/>
          </w:rPr>
          <w:tab/>
        </w:r>
        <w:r w:rsidR="004F0FC4" w:rsidRPr="000C7CE7">
          <w:rPr>
            <w:rStyle w:val="Hyperlink"/>
            <w:noProof/>
          </w:rPr>
          <w:t>Technical skills and knowledge</w:t>
        </w:r>
        <w:r w:rsidR="004F0FC4">
          <w:rPr>
            <w:noProof/>
            <w:webHidden/>
          </w:rPr>
          <w:tab/>
        </w:r>
        <w:r w:rsidR="004F0FC4">
          <w:rPr>
            <w:noProof/>
            <w:webHidden/>
          </w:rPr>
          <w:fldChar w:fldCharType="begin"/>
        </w:r>
        <w:r w:rsidR="004F0FC4">
          <w:rPr>
            <w:noProof/>
            <w:webHidden/>
          </w:rPr>
          <w:instrText xml:space="preserve"> PAGEREF _Toc529783774 \h </w:instrText>
        </w:r>
        <w:r w:rsidR="004F0FC4">
          <w:rPr>
            <w:noProof/>
            <w:webHidden/>
          </w:rPr>
        </w:r>
        <w:r w:rsidR="004F0FC4">
          <w:rPr>
            <w:noProof/>
            <w:webHidden/>
          </w:rPr>
          <w:fldChar w:fldCharType="separate"/>
        </w:r>
        <w:r w:rsidR="004E4C48">
          <w:rPr>
            <w:noProof/>
            <w:webHidden/>
          </w:rPr>
          <w:t>24</w:t>
        </w:r>
        <w:r w:rsidR="004F0FC4">
          <w:rPr>
            <w:noProof/>
            <w:webHidden/>
          </w:rPr>
          <w:fldChar w:fldCharType="end"/>
        </w:r>
      </w:hyperlink>
    </w:p>
    <w:p w14:paraId="46655F5A" w14:textId="3243FF63" w:rsidR="004F0FC4" w:rsidRDefault="00DB7859">
      <w:pPr>
        <w:pStyle w:val="TOC3"/>
        <w:rPr>
          <w:rFonts w:asciiTheme="minorHAnsi" w:eastAsiaTheme="minorEastAsia" w:hAnsiTheme="minorHAnsi" w:cstheme="minorBidi"/>
          <w:noProof/>
          <w:color w:val="auto"/>
          <w:sz w:val="22"/>
          <w:szCs w:val="22"/>
        </w:rPr>
      </w:pPr>
      <w:hyperlink w:anchor="_Toc529783775" w:history="1">
        <w:r w:rsidR="004F0FC4" w:rsidRPr="000C7CE7">
          <w:rPr>
            <w:rStyle w:val="Hyperlink"/>
            <w:noProof/>
          </w:rPr>
          <w:t>3.8.2</w:t>
        </w:r>
        <w:r w:rsidR="004F0FC4">
          <w:rPr>
            <w:rFonts w:asciiTheme="minorHAnsi" w:eastAsiaTheme="minorEastAsia" w:hAnsiTheme="minorHAnsi" w:cstheme="minorBidi"/>
            <w:noProof/>
            <w:color w:val="auto"/>
            <w:sz w:val="22"/>
            <w:szCs w:val="22"/>
          </w:rPr>
          <w:tab/>
        </w:r>
        <w:r w:rsidR="004F0FC4" w:rsidRPr="000C7CE7">
          <w:rPr>
            <w:rStyle w:val="Hyperlink"/>
            <w:noProof/>
          </w:rPr>
          <w:t>Response management</w:t>
        </w:r>
        <w:r w:rsidR="004F0FC4">
          <w:rPr>
            <w:noProof/>
            <w:webHidden/>
          </w:rPr>
          <w:tab/>
        </w:r>
        <w:r w:rsidR="004F0FC4">
          <w:rPr>
            <w:noProof/>
            <w:webHidden/>
          </w:rPr>
          <w:fldChar w:fldCharType="begin"/>
        </w:r>
        <w:r w:rsidR="004F0FC4">
          <w:rPr>
            <w:noProof/>
            <w:webHidden/>
          </w:rPr>
          <w:instrText xml:space="preserve"> PAGEREF _Toc529783775 \h </w:instrText>
        </w:r>
        <w:r w:rsidR="004F0FC4">
          <w:rPr>
            <w:noProof/>
            <w:webHidden/>
          </w:rPr>
        </w:r>
        <w:r w:rsidR="004F0FC4">
          <w:rPr>
            <w:noProof/>
            <w:webHidden/>
          </w:rPr>
          <w:fldChar w:fldCharType="separate"/>
        </w:r>
        <w:r w:rsidR="004E4C48">
          <w:rPr>
            <w:noProof/>
            <w:webHidden/>
          </w:rPr>
          <w:t>24</w:t>
        </w:r>
        <w:r w:rsidR="004F0FC4">
          <w:rPr>
            <w:noProof/>
            <w:webHidden/>
          </w:rPr>
          <w:fldChar w:fldCharType="end"/>
        </w:r>
      </w:hyperlink>
    </w:p>
    <w:p w14:paraId="3A07C814" w14:textId="7CC90FC5" w:rsidR="004F0FC4" w:rsidRDefault="00DB7859">
      <w:pPr>
        <w:pStyle w:val="TOC2"/>
        <w:rPr>
          <w:rFonts w:asciiTheme="minorHAnsi" w:eastAsiaTheme="minorEastAsia" w:hAnsiTheme="minorHAnsi" w:cstheme="minorBidi"/>
          <w:noProof/>
          <w:color w:val="auto"/>
          <w:sz w:val="22"/>
          <w:szCs w:val="22"/>
        </w:rPr>
      </w:pPr>
      <w:hyperlink w:anchor="_Toc529783776" w:history="1">
        <w:r w:rsidR="004F0FC4" w:rsidRPr="000C7CE7">
          <w:rPr>
            <w:rStyle w:val="Hyperlink"/>
            <w:noProof/>
          </w:rPr>
          <w:t>3.9</w:t>
        </w:r>
        <w:r w:rsidR="004F0FC4">
          <w:rPr>
            <w:rFonts w:asciiTheme="minorHAnsi" w:eastAsiaTheme="minorEastAsia" w:hAnsiTheme="minorHAnsi" w:cstheme="minorBidi"/>
            <w:noProof/>
            <w:color w:val="auto"/>
            <w:sz w:val="22"/>
            <w:szCs w:val="22"/>
          </w:rPr>
          <w:tab/>
        </w:r>
        <w:r w:rsidR="004F0FC4" w:rsidRPr="000C7CE7">
          <w:rPr>
            <w:rStyle w:val="Hyperlink"/>
            <w:noProof/>
          </w:rPr>
          <w:t>Diagnostic resources</w:t>
        </w:r>
        <w:r w:rsidR="004F0FC4">
          <w:rPr>
            <w:noProof/>
            <w:webHidden/>
          </w:rPr>
          <w:tab/>
        </w:r>
        <w:r w:rsidR="004F0FC4">
          <w:rPr>
            <w:noProof/>
            <w:webHidden/>
          </w:rPr>
          <w:fldChar w:fldCharType="begin"/>
        </w:r>
        <w:r w:rsidR="004F0FC4">
          <w:rPr>
            <w:noProof/>
            <w:webHidden/>
          </w:rPr>
          <w:instrText xml:space="preserve"> PAGEREF _Toc529783776 \h </w:instrText>
        </w:r>
        <w:r w:rsidR="004F0FC4">
          <w:rPr>
            <w:noProof/>
            <w:webHidden/>
          </w:rPr>
        </w:r>
        <w:r w:rsidR="004F0FC4">
          <w:rPr>
            <w:noProof/>
            <w:webHidden/>
          </w:rPr>
          <w:fldChar w:fldCharType="separate"/>
        </w:r>
        <w:r w:rsidR="004E4C48">
          <w:rPr>
            <w:noProof/>
            <w:webHidden/>
          </w:rPr>
          <w:t>24</w:t>
        </w:r>
        <w:r w:rsidR="004F0FC4">
          <w:rPr>
            <w:noProof/>
            <w:webHidden/>
          </w:rPr>
          <w:fldChar w:fldCharType="end"/>
        </w:r>
      </w:hyperlink>
    </w:p>
    <w:p w14:paraId="57936C93" w14:textId="64B7AA66" w:rsidR="004F0FC4" w:rsidRDefault="00DB7859">
      <w:pPr>
        <w:pStyle w:val="TOC1"/>
        <w:rPr>
          <w:rFonts w:asciiTheme="minorHAnsi" w:eastAsiaTheme="minorEastAsia" w:hAnsiTheme="minorHAnsi" w:cstheme="minorBidi"/>
          <w:b w:val="0"/>
          <w:bCs w:val="0"/>
          <w:color w:val="auto"/>
          <w:sz w:val="22"/>
          <w:szCs w:val="22"/>
        </w:rPr>
      </w:pPr>
      <w:hyperlink w:anchor="_Toc529783777" w:history="1">
        <w:r w:rsidR="004F0FC4" w:rsidRPr="000C7CE7">
          <w:rPr>
            <w:rStyle w:val="Hyperlink"/>
          </w:rPr>
          <w:t>4</w:t>
        </w:r>
        <w:r w:rsidR="004F0FC4">
          <w:rPr>
            <w:rFonts w:asciiTheme="minorHAnsi" w:eastAsiaTheme="minorEastAsia" w:hAnsiTheme="minorHAnsi" w:cstheme="minorBidi"/>
            <w:b w:val="0"/>
            <w:bCs w:val="0"/>
            <w:color w:val="auto"/>
            <w:sz w:val="22"/>
            <w:szCs w:val="22"/>
          </w:rPr>
          <w:tab/>
        </w:r>
        <w:r w:rsidR="004F0FC4" w:rsidRPr="000C7CE7">
          <w:rPr>
            <w:rStyle w:val="Hyperlink"/>
          </w:rPr>
          <w:t>Incident levels</w:t>
        </w:r>
        <w:r w:rsidR="004F0FC4">
          <w:rPr>
            <w:webHidden/>
          </w:rPr>
          <w:tab/>
        </w:r>
        <w:r w:rsidR="004F0FC4">
          <w:rPr>
            <w:webHidden/>
          </w:rPr>
          <w:fldChar w:fldCharType="begin"/>
        </w:r>
        <w:r w:rsidR="004F0FC4">
          <w:rPr>
            <w:webHidden/>
          </w:rPr>
          <w:instrText xml:space="preserve"> PAGEREF _Toc529783777 \h </w:instrText>
        </w:r>
        <w:r w:rsidR="004F0FC4">
          <w:rPr>
            <w:webHidden/>
          </w:rPr>
        </w:r>
        <w:r w:rsidR="004F0FC4">
          <w:rPr>
            <w:webHidden/>
          </w:rPr>
          <w:fldChar w:fldCharType="separate"/>
        </w:r>
        <w:r w:rsidR="004E4C48">
          <w:rPr>
            <w:webHidden/>
          </w:rPr>
          <w:t>26</w:t>
        </w:r>
        <w:r w:rsidR="004F0FC4">
          <w:rPr>
            <w:webHidden/>
          </w:rPr>
          <w:fldChar w:fldCharType="end"/>
        </w:r>
      </w:hyperlink>
    </w:p>
    <w:p w14:paraId="4DB91DEA" w14:textId="24AB510C" w:rsidR="004F0FC4" w:rsidRDefault="00DB7859">
      <w:pPr>
        <w:pStyle w:val="TOC1"/>
        <w:rPr>
          <w:rFonts w:asciiTheme="minorHAnsi" w:eastAsiaTheme="minorEastAsia" w:hAnsiTheme="minorHAnsi" w:cstheme="minorBidi"/>
          <w:b w:val="0"/>
          <w:bCs w:val="0"/>
          <w:color w:val="auto"/>
          <w:sz w:val="22"/>
          <w:szCs w:val="22"/>
        </w:rPr>
      </w:pPr>
      <w:hyperlink w:anchor="_Toc529783778" w:history="1">
        <w:r w:rsidR="004F0FC4" w:rsidRPr="000C7CE7">
          <w:rPr>
            <w:rStyle w:val="Hyperlink"/>
          </w:rPr>
          <w:t>5</w:t>
        </w:r>
        <w:r w:rsidR="004F0FC4">
          <w:rPr>
            <w:rFonts w:asciiTheme="minorHAnsi" w:eastAsiaTheme="minorEastAsia" w:hAnsiTheme="minorHAnsi" w:cstheme="minorBidi"/>
            <w:b w:val="0"/>
            <w:bCs w:val="0"/>
            <w:color w:val="auto"/>
            <w:sz w:val="22"/>
            <w:szCs w:val="22"/>
          </w:rPr>
          <w:tab/>
        </w:r>
        <w:r w:rsidR="004F0FC4" w:rsidRPr="000C7CE7">
          <w:rPr>
            <w:rStyle w:val="Hyperlink"/>
          </w:rPr>
          <w:t>Incident phases</w:t>
        </w:r>
        <w:r w:rsidR="004F0FC4">
          <w:rPr>
            <w:webHidden/>
          </w:rPr>
          <w:tab/>
        </w:r>
        <w:r w:rsidR="004F0FC4">
          <w:rPr>
            <w:webHidden/>
          </w:rPr>
          <w:fldChar w:fldCharType="begin"/>
        </w:r>
        <w:r w:rsidR="004F0FC4">
          <w:rPr>
            <w:webHidden/>
          </w:rPr>
          <w:instrText xml:space="preserve"> PAGEREF _Toc529783778 \h </w:instrText>
        </w:r>
        <w:r w:rsidR="004F0FC4">
          <w:rPr>
            <w:webHidden/>
          </w:rPr>
        </w:r>
        <w:r w:rsidR="004F0FC4">
          <w:rPr>
            <w:webHidden/>
          </w:rPr>
          <w:fldChar w:fldCharType="separate"/>
        </w:r>
        <w:r w:rsidR="004E4C48">
          <w:rPr>
            <w:webHidden/>
          </w:rPr>
          <w:t>27</w:t>
        </w:r>
        <w:r w:rsidR="004F0FC4">
          <w:rPr>
            <w:webHidden/>
          </w:rPr>
          <w:fldChar w:fldCharType="end"/>
        </w:r>
      </w:hyperlink>
    </w:p>
    <w:p w14:paraId="51BD8408" w14:textId="4B809511" w:rsidR="004F0FC4" w:rsidRDefault="00DB7859">
      <w:pPr>
        <w:pStyle w:val="TOC2"/>
        <w:rPr>
          <w:rFonts w:asciiTheme="minorHAnsi" w:eastAsiaTheme="minorEastAsia" w:hAnsiTheme="minorHAnsi" w:cstheme="minorBidi"/>
          <w:noProof/>
          <w:color w:val="auto"/>
          <w:sz w:val="22"/>
          <w:szCs w:val="22"/>
        </w:rPr>
      </w:pPr>
      <w:hyperlink w:anchor="_Toc529783779" w:history="1">
        <w:r w:rsidR="004F0FC4" w:rsidRPr="000C7CE7">
          <w:rPr>
            <w:rStyle w:val="Hyperlink"/>
            <w:noProof/>
          </w:rPr>
          <w:t>5.1</w:t>
        </w:r>
        <w:r w:rsidR="004F0FC4">
          <w:rPr>
            <w:rFonts w:asciiTheme="minorHAnsi" w:eastAsiaTheme="minorEastAsia" w:hAnsiTheme="minorHAnsi" w:cstheme="minorBidi"/>
            <w:noProof/>
            <w:color w:val="auto"/>
            <w:sz w:val="22"/>
            <w:szCs w:val="22"/>
          </w:rPr>
          <w:tab/>
        </w:r>
        <w:r w:rsidR="004F0FC4" w:rsidRPr="000C7CE7">
          <w:rPr>
            <w:rStyle w:val="Hyperlink"/>
            <w:noProof/>
          </w:rPr>
          <w:t>Investigation and alert</w:t>
        </w:r>
        <w:r w:rsidR="004F0FC4">
          <w:rPr>
            <w:noProof/>
            <w:webHidden/>
          </w:rPr>
          <w:tab/>
        </w:r>
        <w:r w:rsidR="004F0FC4">
          <w:rPr>
            <w:noProof/>
            <w:webHidden/>
          </w:rPr>
          <w:fldChar w:fldCharType="begin"/>
        </w:r>
        <w:r w:rsidR="004F0FC4">
          <w:rPr>
            <w:noProof/>
            <w:webHidden/>
          </w:rPr>
          <w:instrText xml:space="preserve"> PAGEREF _Toc529783779 \h </w:instrText>
        </w:r>
        <w:r w:rsidR="004F0FC4">
          <w:rPr>
            <w:noProof/>
            <w:webHidden/>
          </w:rPr>
        </w:r>
        <w:r w:rsidR="004F0FC4">
          <w:rPr>
            <w:noProof/>
            <w:webHidden/>
          </w:rPr>
          <w:fldChar w:fldCharType="separate"/>
        </w:r>
        <w:r w:rsidR="004E4C48">
          <w:rPr>
            <w:noProof/>
            <w:webHidden/>
          </w:rPr>
          <w:t>27</w:t>
        </w:r>
        <w:r w:rsidR="004F0FC4">
          <w:rPr>
            <w:noProof/>
            <w:webHidden/>
          </w:rPr>
          <w:fldChar w:fldCharType="end"/>
        </w:r>
      </w:hyperlink>
    </w:p>
    <w:p w14:paraId="6E7F0191" w14:textId="1C041C01" w:rsidR="004F0FC4" w:rsidRDefault="00DB7859">
      <w:pPr>
        <w:pStyle w:val="TOC2"/>
        <w:rPr>
          <w:rFonts w:asciiTheme="minorHAnsi" w:eastAsiaTheme="minorEastAsia" w:hAnsiTheme="minorHAnsi" w:cstheme="minorBidi"/>
          <w:noProof/>
          <w:color w:val="auto"/>
          <w:sz w:val="22"/>
          <w:szCs w:val="22"/>
        </w:rPr>
      </w:pPr>
      <w:hyperlink w:anchor="_Toc529783780" w:history="1">
        <w:r w:rsidR="004F0FC4" w:rsidRPr="000C7CE7">
          <w:rPr>
            <w:rStyle w:val="Hyperlink"/>
            <w:noProof/>
          </w:rPr>
          <w:t>5.2</w:t>
        </w:r>
        <w:r w:rsidR="004F0FC4">
          <w:rPr>
            <w:rFonts w:asciiTheme="minorHAnsi" w:eastAsiaTheme="minorEastAsia" w:hAnsiTheme="minorHAnsi" w:cstheme="minorBidi"/>
            <w:noProof/>
            <w:color w:val="auto"/>
            <w:sz w:val="22"/>
            <w:szCs w:val="22"/>
          </w:rPr>
          <w:tab/>
        </w:r>
        <w:r w:rsidR="004F0FC4" w:rsidRPr="000C7CE7">
          <w:rPr>
            <w:rStyle w:val="Hyperlink"/>
            <w:noProof/>
          </w:rPr>
          <w:t>Operations phase</w:t>
        </w:r>
        <w:r w:rsidR="004F0FC4">
          <w:rPr>
            <w:noProof/>
            <w:webHidden/>
          </w:rPr>
          <w:tab/>
        </w:r>
        <w:r w:rsidR="004F0FC4">
          <w:rPr>
            <w:noProof/>
            <w:webHidden/>
          </w:rPr>
          <w:fldChar w:fldCharType="begin"/>
        </w:r>
        <w:r w:rsidR="004F0FC4">
          <w:rPr>
            <w:noProof/>
            <w:webHidden/>
          </w:rPr>
          <w:instrText xml:space="preserve"> PAGEREF _Toc529783780 \h </w:instrText>
        </w:r>
        <w:r w:rsidR="004F0FC4">
          <w:rPr>
            <w:noProof/>
            <w:webHidden/>
          </w:rPr>
        </w:r>
        <w:r w:rsidR="004F0FC4">
          <w:rPr>
            <w:noProof/>
            <w:webHidden/>
          </w:rPr>
          <w:fldChar w:fldCharType="separate"/>
        </w:r>
        <w:r w:rsidR="004E4C48">
          <w:rPr>
            <w:noProof/>
            <w:webHidden/>
          </w:rPr>
          <w:t>31</w:t>
        </w:r>
        <w:r w:rsidR="004F0FC4">
          <w:rPr>
            <w:noProof/>
            <w:webHidden/>
          </w:rPr>
          <w:fldChar w:fldCharType="end"/>
        </w:r>
      </w:hyperlink>
    </w:p>
    <w:p w14:paraId="196C0FA3" w14:textId="449D47A3" w:rsidR="004F0FC4" w:rsidRDefault="00DB7859">
      <w:pPr>
        <w:pStyle w:val="TOC2"/>
        <w:rPr>
          <w:rFonts w:asciiTheme="minorHAnsi" w:eastAsiaTheme="minorEastAsia" w:hAnsiTheme="minorHAnsi" w:cstheme="minorBidi"/>
          <w:noProof/>
          <w:color w:val="auto"/>
          <w:sz w:val="22"/>
          <w:szCs w:val="22"/>
        </w:rPr>
      </w:pPr>
      <w:hyperlink w:anchor="_Toc529783781" w:history="1">
        <w:r w:rsidR="004F0FC4" w:rsidRPr="000C7CE7">
          <w:rPr>
            <w:rStyle w:val="Hyperlink"/>
            <w:noProof/>
          </w:rPr>
          <w:t>5.3</w:t>
        </w:r>
        <w:r w:rsidR="004F0FC4">
          <w:rPr>
            <w:rFonts w:asciiTheme="minorHAnsi" w:eastAsiaTheme="minorEastAsia" w:hAnsiTheme="minorHAnsi" w:cstheme="minorBidi"/>
            <w:noProof/>
            <w:color w:val="auto"/>
            <w:sz w:val="22"/>
            <w:szCs w:val="22"/>
          </w:rPr>
          <w:tab/>
        </w:r>
        <w:r w:rsidR="004F0FC4" w:rsidRPr="000C7CE7">
          <w:rPr>
            <w:rStyle w:val="Hyperlink"/>
            <w:noProof/>
          </w:rPr>
          <w:t>Stand-down</w:t>
        </w:r>
        <w:r w:rsidR="004F0FC4">
          <w:rPr>
            <w:noProof/>
            <w:webHidden/>
          </w:rPr>
          <w:tab/>
        </w:r>
        <w:r w:rsidR="004F0FC4">
          <w:rPr>
            <w:noProof/>
            <w:webHidden/>
          </w:rPr>
          <w:fldChar w:fldCharType="begin"/>
        </w:r>
        <w:r w:rsidR="004F0FC4">
          <w:rPr>
            <w:noProof/>
            <w:webHidden/>
          </w:rPr>
          <w:instrText xml:space="preserve"> PAGEREF _Toc529783781 \h </w:instrText>
        </w:r>
        <w:r w:rsidR="004F0FC4">
          <w:rPr>
            <w:noProof/>
            <w:webHidden/>
          </w:rPr>
        </w:r>
        <w:r w:rsidR="004F0FC4">
          <w:rPr>
            <w:noProof/>
            <w:webHidden/>
          </w:rPr>
          <w:fldChar w:fldCharType="separate"/>
        </w:r>
        <w:r w:rsidR="004E4C48">
          <w:rPr>
            <w:noProof/>
            <w:webHidden/>
          </w:rPr>
          <w:t>31</w:t>
        </w:r>
        <w:r w:rsidR="004F0FC4">
          <w:rPr>
            <w:noProof/>
            <w:webHidden/>
          </w:rPr>
          <w:fldChar w:fldCharType="end"/>
        </w:r>
      </w:hyperlink>
    </w:p>
    <w:p w14:paraId="61A0B2B6" w14:textId="768FAECE" w:rsidR="004F0FC4" w:rsidRDefault="00DB7859">
      <w:pPr>
        <w:pStyle w:val="TOC2"/>
        <w:rPr>
          <w:rFonts w:asciiTheme="minorHAnsi" w:eastAsiaTheme="minorEastAsia" w:hAnsiTheme="minorHAnsi" w:cstheme="minorBidi"/>
          <w:noProof/>
          <w:color w:val="auto"/>
          <w:sz w:val="22"/>
          <w:szCs w:val="22"/>
        </w:rPr>
      </w:pPr>
      <w:hyperlink w:anchor="_Toc529783782" w:history="1">
        <w:r w:rsidR="004F0FC4" w:rsidRPr="000C7CE7">
          <w:rPr>
            <w:rStyle w:val="Hyperlink"/>
            <w:noProof/>
          </w:rPr>
          <w:t>5.4</w:t>
        </w:r>
        <w:r w:rsidR="004F0FC4">
          <w:rPr>
            <w:rFonts w:asciiTheme="minorHAnsi" w:eastAsiaTheme="minorEastAsia" w:hAnsiTheme="minorHAnsi" w:cstheme="minorBidi"/>
            <w:noProof/>
            <w:color w:val="auto"/>
            <w:sz w:val="22"/>
            <w:szCs w:val="22"/>
          </w:rPr>
          <w:tab/>
        </w:r>
        <w:r w:rsidR="004F0FC4" w:rsidRPr="000C7CE7">
          <w:rPr>
            <w:rStyle w:val="Hyperlink"/>
            <w:noProof/>
          </w:rPr>
          <w:t>Post-response management</w:t>
        </w:r>
        <w:r w:rsidR="004F0FC4">
          <w:rPr>
            <w:noProof/>
            <w:webHidden/>
          </w:rPr>
          <w:tab/>
        </w:r>
        <w:r w:rsidR="004F0FC4">
          <w:rPr>
            <w:noProof/>
            <w:webHidden/>
          </w:rPr>
          <w:fldChar w:fldCharType="begin"/>
        </w:r>
        <w:r w:rsidR="004F0FC4">
          <w:rPr>
            <w:noProof/>
            <w:webHidden/>
          </w:rPr>
          <w:instrText xml:space="preserve"> PAGEREF _Toc529783782 \h </w:instrText>
        </w:r>
        <w:r w:rsidR="004F0FC4">
          <w:rPr>
            <w:noProof/>
            <w:webHidden/>
          </w:rPr>
        </w:r>
        <w:r w:rsidR="004F0FC4">
          <w:rPr>
            <w:noProof/>
            <w:webHidden/>
          </w:rPr>
          <w:fldChar w:fldCharType="separate"/>
        </w:r>
        <w:r w:rsidR="004E4C48">
          <w:rPr>
            <w:noProof/>
            <w:webHidden/>
          </w:rPr>
          <w:t>32</w:t>
        </w:r>
        <w:r w:rsidR="004F0FC4">
          <w:rPr>
            <w:noProof/>
            <w:webHidden/>
          </w:rPr>
          <w:fldChar w:fldCharType="end"/>
        </w:r>
      </w:hyperlink>
    </w:p>
    <w:p w14:paraId="6CF4C96E" w14:textId="79A2EF46" w:rsidR="004F0FC4" w:rsidRDefault="00DB7859">
      <w:pPr>
        <w:pStyle w:val="TOC2"/>
        <w:rPr>
          <w:rFonts w:asciiTheme="minorHAnsi" w:eastAsiaTheme="minorEastAsia" w:hAnsiTheme="minorHAnsi" w:cstheme="minorBidi"/>
          <w:noProof/>
          <w:color w:val="auto"/>
          <w:sz w:val="22"/>
          <w:szCs w:val="22"/>
        </w:rPr>
      </w:pPr>
      <w:hyperlink w:anchor="_Toc529783783" w:history="1">
        <w:r w:rsidR="004F0FC4" w:rsidRPr="000C7CE7">
          <w:rPr>
            <w:rStyle w:val="Hyperlink"/>
            <w:noProof/>
          </w:rPr>
          <w:t>5.5</w:t>
        </w:r>
        <w:r w:rsidR="004F0FC4">
          <w:rPr>
            <w:rFonts w:asciiTheme="minorHAnsi" w:eastAsiaTheme="minorEastAsia" w:hAnsiTheme="minorHAnsi" w:cstheme="minorBidi"/>
            <w:noProof/>
            <w:color w:val="auto"/>
            <w:sz w:val="22"/>
            <w:szCs w:val="22"/>
          </w:rPr>
          <w:tab/>
        </w:r>
        <w:r w:rsidR="004F0FC4" w:rsidRPr="000C7CE7">
          <w:rPr>
            <w:rStyle w:val="Hyperlink"/>
            <w:noProof/>
          </w:rPr>
          <w:t>Recovery</w:t>
        </w:r>
        <w:r w:rsidR="004F0FC4">
          <w:rPr>
            <w:noProof/>
            <w:webHidden/>
          </w:rPr>
          <w:tab/>
        </w:r>
        <w:r w:rsidR="004F0FC4">
          <w:rPr>
            <w:noProof/>
            <w:webHidden/>
          </w:rPr>
          <w:fldChar w:fldCharType="begin"/>
        </w:r>
        <w:r w:rsidR="004F0FC4">
          <w:rPr>
            <w:noProof/>
            <w:webHidden/>
          </w:rPr>
          <w:instrText xml:space="preserve"> PAGEREF _Toc529783783 \h </w:instrText>
        </w:r>
        <w:r w:rsidR="004F0FC4">
          <w:rPr>
            <w:noProof/>
            <w:webHidden/>
          </w:rPr>
        </w:r>
        <w:r w:rsidR="004F0FC4">
          <w:rPr>
            <w:noProof/>
            <w:webHidden/>
          </w:rPr>
          <w:fldChar w:fldCharType="separate"/>
        </w:r>
        <w:r w:rsidR="004E4C48">
          <w:rPr>
            <w:noProof/>
            <w:webHidden/>
          </w:rPr>
          <w:t>32</w:t>
        </w:r>
        <w:r w:rsidR="004F0FC4">
          <w:rPr>
            <w:noProof/>
            <w:webHidden/>
          </w:rPr>
          <w:fldChar w:fldCharType="end"/>
        </w:r>
      </w:hyperlink>
    </w:p>
    <w:p w14:paraId="05E06E96" w14:textId="09436F18" w:rsidR="004F0FC4" w:rsidRDefault="00DB7859">
      <w:pPr>
        <w:pStyle w:val="TOC1"/>
        <w:rPr>
          <w:rFonts w:asciiTheme="minorHAnsi" w:eastAsiaTheme="minorEastAsia" w:hAnsiTheme="minorHAnsi" w:cstheme="minorBidi"/>
          <w:b w:val="0"/>
          <w:bCs w:val="0"/>
          <w:color w:val="auto"/>
          <w:sz w:val="22"/>
          <w:szCs w:val="22"/>
        </w:rPr>
      </w:pPr>
      <w:hyperlink w:anchor="_Toc529783784" w:history="1">
        <w:r w:rsidR="004F0FC4" w:rsidRPr="000C7CE7">
          <w:rPr>
            <w:rStyle w:val="Hyperlink"/>
          </w:rPr>
          <w:t>6</w:t>
        </w:r>
        <w:r w:rsidR="004F0FC4">
          <w:rPr>
            <w:rFonts w:asciiTheme="minorHAnsi" w:eastAsiaTheme="minorEastAsia" w:hAnsiTheme="minorHAnsi" w:cstheme="minorBidi"/>
            <w:b w:val="0"/>
            <w:bCs w:val="0"/>
            <w:color w:val="auto"/>
            <w:sz w:val="22"/>
            <w:szCs w:val="22"/>
          </w:rPr>
          <w:tab/>
        </w:r>
        <w:r w:rsidR="004F0FC4" w:rsidRPr="000C7CE7">
          <w:rPr>
            <w:rStyle w:val="Hyperlink"/>
          </w:rPr>
          <w:t>EWD response planning</w:t>
        </w:r>
        <w:r w:rsidR="004F0FC4">
          <w:rPr>
            <w:webHidden/>
          </w:rPr>
          <w:tab/>
        </w:r>
        <w:r w:rsidR="004F0FC4">
          <w:rPr>
            <w:webHidden/>
          </w:rPr>
          <w:fldChar w:fldCharType="begin"/>
        </w:r>
        <w:r w:rsidR="004F0FC4">
          <w:rPr>
            <w:webHidden/>
          </w:rPr>
          <w:instrText xml:space="preserve"> PAGEREF _Toc529783784 \h </w:instrText>
        </w:r>
        <w:r w:rsidR="004F0FC4">
          <w:rPr>
            <w:webHidden/>
          </w:rPr>
        </w:r>
        <w:r w:rsidR="004F0FC4">
          <w:rPr>
            <w:webHidden/>
          </w:rPr>
          <w:fldChar w:fldCharType="separate"/>
        </w:r>
        <w:r w:rsidR="004E4C48">
          <w:rPr>
            <w:webHidden/>
          </w:rPr>
          <w:t>33</w:t>
        </w:r>
        <w:r w:rsidR="004F0FC4">
          <w:rPr>
            <w:webHidden/>
          </w:rPr>
          <w:fldChar w:fldCharType="end"/>
        </w:r>
      </w:hyperlink>
    </w:p>
    <w:p w14:paraId="0DFF1A15" w14:textId="3D8E776B" w:rsidR="004F0FC4" w:rsidRDefault="00DB7859">
      <w:pPr>
        <w:pStyle w:val="TOC2"/>
        <w:rPr>
          <w:rFonts w:asciiTheme="minorHAnsi" w:eastAsiaTheme="minorEastAsia" w:hAnsiTheme="minorHAnsi" w:cstheme="minorBidi"/>
          <w:noProof/>
          <w:color w:val="auto"/>
          <w:sz w:val="22"/>
          <w:szCs w:val="22"/>
        </w:rPr>
      </w:pPr>
      <w:hyperlink w:anchor="_Toc529783785" w:history="1">
        <w:r w:rsidR="004F0FC4" w:rsidRPr="000C7CE7">
          <w:rPr>
            <w:rStyle w:val="Hyperlink"/>
            <w:noProof/>
          </w:rPr>
          <w:t>6.1</w:t>
        </w:r>
        <w:r w:rsidR="004F0FC4">
          <w:rPr>
            <w:rFonts w:asciiTheme="minorHAnsi" w:eastAsiaTheme="minorEastAsia" w:hAnsiTheme="minorHAnsi" w:cstheme="minorBidi"/>
            <w:noProof/>
            <w:color w:val="auto"/>
            <w:sz w:val="22"/>
            <w:szCs w:val="22"/>
          </w:rPr>
          <w:tab/>
        </w:r>
        <w:r w:rsidR="004F0FC4" w:rsidRPr="000C7CE7">
          <w:rPr>
            <w:rStyle w:val="Hyperlink"/>
            <w:noProof/>
          </w:rPr>
          <w:t>General policy</w:t>
        </w:r>
        <w:r w:rsidR="004F0FC4">
          <w:rPr>
            <w:noProof/>
            <w:webHidden/>
          </w:rPr>
          <w:tab/>
        </w:r>
        <w:r w:rsidR="004F0FC4">
          <w:rPr>
            <w:noProof/>
            <w:webHidden/>
          </w:rPr>
          <w:fldChar w:fldCharType="begin"/>
        </w:r>
        <w:r w:rsidR="004F0FC4">
          <w:rPr>
            <w:noProof/>
            <w:webHidden/>
          </w:rPr>
          <w:instrText xml:space="preserve"> PAGEREF _Toc529783785 \h </w:instrText>
        </w:r>
        <w:r w:rsidR="004F0FC4">
          <w:rPr>
            <w:noProof/>
            <w:webHidden/>
          </w:rPr>
        </w:r>
        <w:r w:rsidR="004F0FC4">
          <w:rPr>
            <w:noProof/>
            <w:webHidden/>
          </w:rPr>
          <w:fldChar w:fldCharType="separate"/>
        </w:r>
        <w:r w:rsidR="004E4C48">
          <w:rPr>
            <w:noProof/>
            <w:webHidden/>
          </w:rPr>
          <w:t>33</w:t>
        </w:r>
        <w:r w:rsidR="004F0FC4">
          <w:rPr>
            <w:noProof/>
            <w:webHidden/>
          </w:rPr>
          <w:fldChar w:fldCharType="end"/>
        </w:r>
      </w:hyperlink>
    </w:p>
    <w:p w14:paraId="0E9843D7" w14:textId="0B2A924F" w:rsidR="004F0FC4" w:rsidRDefault="00DB7859">
      <w:pPr>
        <w:pStyle w:val="TOC2"/>
        <w:rPr>
          <w:rFonts w:asciiTheme="minorHAnsi" w:eastAsiaTheme="minorEastAsia" w:hAnsiTheme="minorHAnsi" w:cstheme="minorBidi"/>
          <w:noProof/>
          <w:color w:val="auto"/>
          <w:sz w:val="22"/>
          <w:szCs w:val="22"/>
        </w:rPr>
      </w:pPr>
      <w:hyperlink w:anchor="_Toc529783786" w:history="1">
        <w:r w:rsidR="004F0FC4" w:rsidRPr="000C7CE7">
          <w:rPr>
            <w:rStyle w:val="Hyperlink"/>
            <w:noProof/>
          </w:rPr>
          <w:t>6.2</w:t>
        </w:r>
        <w:r w:rsidR="004F0FC4">
          <w:rPr>
            <w:rFonts w:asciiTheme="minorHAnsi" w:eastAsiaTheme="minorEastAsia" w:hAnsiTheme="minorHAnsi" w:cstheme="minorBidi"/>
            <w:noProof/>
            <w:color w:val="auto"/>
            <w:sz w:val="22"/>
            <w:szCs w:val="22"/>
          </w:rPr>
          <w:tab/>
        </w:r>
        <w:r w:rsidR="004F0FC4" w:rsidRPr="000C7CE7">
          <w:rPr>
            <w:rStyle w:val="Hyperlink"/>
            <w:noProof/>
          </w:rPr>
          <w:t>National level</w:t>
        </w:r>
        <w:r w:rsidR="004F0FC4">
          <w:rPr>
            <w:noProof/>
            <w:webHidden/>
          </w:rPr>
          <w:tab/>
        </w:r>
        <w:r w:rsidR="004F0FC4">
          <w:rPr>
            <w:noProof/>
            <w:webHidden/>
          </w:rPr>
          <w:fldChar w:fldCharType="begin"/>
        </w:r>
        <w:r w:rsidR="004F0FC4">
          <w:rPr>
            <w:noProof/>
            <w:webHidden/>
          </w:rPr>
          <w:instrText xml:space="preserve"> PAGEREF _Toc529783786 \h </w:instrText>
        </w:r>
        <w:r w:rsidR="004F0FC4">
          <w:rPr>
            <w:noProof/>
            <w:webHidden/>
          </w:rPr>
        </w:r>
        <w:r w:rsidR="004F0FC4">
          <w:rPr>
            <w:noProof/>
            <w:webHidden/>
          </w:rPr>
          <w:fldChar w:fldCharType="separate"/>
        </w:r>
        <w:r w:rsidR="004E4C48">
          <w:rPr>
            <w:noProof/>
            <w:webHidden/>
          </w:rPr>
          <w:t>34</w:t>
        </w:r>
        <w:r w:rsidR="004F0FC4">
          <w:rPr>
            <w:noProof/>
            <w:webHidden/>
          </w:rPr>
          <w:fldChar w:fldCharType="end"/>
        </w:r>
      </w:hyperlink>
    </w:p>
    <w:p w14:paraId="026F4907" w14:textId="377116DE" w:rsidR="004F0FC4" w:rsidRDefault="00DB7859">
      <w:pPr>
        <w:pStyle w:val="TOC2"/>
        <w:rPr>
          <w:rFonts w:asciiTheme="minorHAnsi" w:eastAsiaTheme="minorEastAsia" w:hAnsiTheme="minorHAnsi" w:cstheme="minorBidi"/>
          <w:noProof/>
          <w:color w:val="auto"/>
          <w:sz w:val="22"/>
          <w:szCs w:val="22"/>
        </w:rPr>
      </w:pPr>
      <w:hyperlink w:anchor="_Toc529783787" w:history="1">
        <w:r w:rsidR="004F0FC4" w:rsidRPr="000C7CE7">
          <w:rPr>
            <w:rStyle w:val="Hyperlink"/>
            <w:noProof/>
          </w:rPr>
          <w:t>6.3</w:t>
        </w:r>
        <w:r w:rsidR="004F0FC4">
          <w:rPr>
            <w:rFonts w:asciiTheme="minorHAnsi" w:eastAsiaTheme="minorEastAsia" w:hAnsiTheme="minorHAnsi" w:cstheme="minorBidi"/>
            <w:noProof/>
            <w:color w:val="auto"/>
            <w:sz w:val="22"/>
            <w:szCs w:val="22"/>
          </w:rPr>
          <w:tab/>
        </w:r>
        <w:r w:rsidR="004F0FC4" w:rsidRPr="000C7CE7">
          <w:rPr>
            <w:rStyle w:val="Hyperlink"/>
            <w:noProof/>
          </w:rPr>
          <w:t>State and territory</w:t>
        </w:r>
        <w:r w:rsidR="004F0FC4">
          <w:rPr>
            <w:noProof/>
            <w:webHidden/>
          </w:rPr>
          <w:tab/>
        </w:r>
        <w:r w:rsidR="004F0FC4">
          <w:rPr>
            <w:noProof/>
            <w:webHidden/>
          </w:rPr>
          <w:fldChar w:fldCharType="begin"/>
        </w:r>
        <w:r w:rsidR="004F0FC4">
          <w:rPr>
            <w:noProof/>
            <w:webHidden/>
          </w:rPr>
          <w:instrText xml:space="preserve"> PAGEREF _Toc529783787 \h </w:instrText>
        </w:r>
        <w:r w:rsidR="004F0FC4">
          <w:rPr>
            <w:noProof/>
            <w:webHidden/>
          </w:rPr>
        </w:r>
        <w:r w:rsidR="004F0FC4">
          <w:rPr>
            <w:noProof/>
            <w:webHidden/>
          </w:rPr>
          <w:fldChar w:fldCharType="separate"/>
        </w:r>
        <w:r w:rsidR="004E4C48">
          <w:rPr>
            <w:noProof/>
            <w:webHidden/>
          </w:rPr>
          <w:t>35</w:t>
        </w:r>
        <w:r w:rsidR="004F0FC4">
          <w:rPr>
            <w:noProof/>
            <w:webHidden/>
          </w:rPr>
          <w:fldChar w:fldCharType="end"/>
        </w:r>
      </w:hyperlink>
    </w:p>
    <w:p w14:paraId="025154AF" w14:textId="3EA26405" w:rsidR="004F0FC4" w:rsidRDefault="00DB7859">
      <w:pPr>
        <w:pStyle w:val="TOC2"/>
        <w:rPr>
          <w:rFonts w:asciiTheme="minorHAnsi" w:eastAsiaTheme="minorEastAsia" w:hAnsiTheme="minorHAnsi" w:cstheme="minorBidi"/>
          <w:noProof/>
          <w:color w:val="auto"/>
          <w:sz w:val="22"/>
          <w:szCs w:val="22"/>
        </w:rPr>
      </w:pPr>
      <w:hyperlink w:anchor="_Toc529783788" w:history="1">
        <w:r w:rsidR="004F0FC4" w:rsidRPr="000C7CE7">
          <w:rPr>
            <w:rStyle w:val="Hyperlink"/>
            <w:noProof/>
          </w:rPr>
          <w:t>6.4</w:t>
        </w:r>
        <w:r w:rsidR="004F0FC4">
          <w:rPr>
            <w:rFonts w:asciiTheme="minorHAnsi" w:eastAsiaTheme="minorEastAsia" w:hAnsiTheme="minorHAnsi" w:cstheme="minorBidi"/>
            <w:noProof/>
            <w:color w:val="auto"/>
            <w:sz w:val="22"/>
            <w:szCs w:val="22"/>
          </w:rPr>
          <w:tab/>
        </w:r>
        <w:r w:rsidR="004F0FC4" w:rsidRPr="000C7CE7">
          <w:rPr>
            <w:rStyle w:val="Hyperlink"/>
            <w:noProof/>
          </w:rPr>
          <w:t>Regional and local area</w:t>
        </w:r>
        <w:r w:rsidR="004F0FC4">
          <w:rPr>
            <w:noProof/>
            <w:webHidden/>
          </w:rPr>
          <w:tab/>
        </w:r>
        <w:r w:rsidR="004F0FC4">
          <w:rPr>
            <w:noProof/>
            <w:webHidden/>
          </w:rPr>
          <w:fldChar w:fldCharType="begin"/>
        </w:r>
        <w:r w:rsidR="004F0FC4">
          <w:rPr>
            <w:noProof/>
            <w:webHidden/>
          </w:rPr>
          <w:instrText xml:space="preserve"> PAGEREF _Toc529783788 \h </w:instrText>
        </w:r>
        <w:r w:rsidR="004F0FC4">
          <w:rPr>
            <w:noProof/>
            <w:webHidden/>
          </w:rPr>
        </w:r>
        <w:r w:rsidR="004F0FC4">
          <w:rPr>
            <w:noProof/>
            <w:webHidden/>
          </w:rPr>
          <w:fldChar w:fldCharType="separate"/>
        </w:r>
        <w:r w:rsidR="004E4C48">
          <w:rPr>
            <w:noProof/>
            <w:webHidden/>
          </w:rPr>
          <w:t>36</w:t>
        </w:r>
        <w:r w:rsidR="004F0FC4">
          <w:rPr>
            <w:noProof/>
            <w:webHidden/>
          </w:rPr>
          <w:fldChar w:fldCharType="end"/>
        </w:r>
      </w:hyperlink>
    </w:p>
    <w:p w14:paraId="052A6777" w14:textId="1F216EBA" w:rsidR="004F0FC4" w:rsidRDefault="00DB7859">
      <w:pPr>
        <w:pStyle w:val="TOC2"/>
        <w:rPr>
          <w:rFonts w:asciiTheme="minorHAnsi" w:eastAsiaTheme="minorEastAsia" w:hAnsiTheme="minorHAnsi" w:cstheme="minorBidi"/>
          <w:noProof/>
          <w:color w:val="auto"/>
          <w:sz w:val="22"/>
          <w:szCs w:val="22"/>
        </w:rPr>
      </w:pPr>
      <w:hyperlink w:anchor="_Toc529783789" w:history="1">
        <w:r w:rsidR="004F0FC4" w:rsidRPr="000C7CE7">
          <w:rPr>
            <w:rStyle w:val="Hyperlink"/>
            <w:noProof/>
          </w:rPr>
          <w:t>6.5</w:t>
        </w:r>
        <w:r w:rsidR="004F0FC4">
          <w:rPr>
            <w:rFonts w:asciiTheme="minorHAnsi" w:eastAsiaTheme="minorEastAsia" w:hAnsiTheme="minorHAnsi" w:cstheme="minorBidi"/>
            <w:noProof/>
            <w:color w:val="auto"/>
            <w:sz w:val="22"/>
            <w:szCs w:val="22"/>
          </w:rPr>
          <w:tab/>
        </w:r>
        <w:r w:rsidR="004F0FC4" w:rsidRPr="000C7CE7">
          <w:rPr>
            <w:rStyle w:val="Hyperlink"/>
            <w:noProof/>
          </w:rPr>
          <w:t>Strategic risk assessment</w:t>
        </w:r>
        <w:r w:rsidR="004F0FC4">
          <w:rPr>
            <w:noProof/>
            <w:webHidden/>
          </w:rPr>
          <w:tab/>
        </w:r>
        <w:r w:rsidR="004F0FC4">
          <w:rPr>
            <w:noProof/>
            <w:webHidden/>
          </w:rPr>
          <w:fldChar w:fldCharType="begin"/>
        </w:r>
        <w:r w:rsidR="004F0FC4">
          <w:rPr>
            <w:noProof/>
            <w:webHidden/>
          </w:rPr>
          <w:instrText xml:space="preserve"> PAGEREF _Toc529783789 \h </w:instrText>
        </w:r>
        <w:r w:rsidR="004F0FC4">
          <w:rPr>
            <w:noProof/>
            <w:webHidden/>
          </w:rPr>
        </w:r>
        <w:r w:rsidR="004F0FC4">
          <w:rPr>
            <w:noProof/>
            <w:webHidden/>
          </w:rPr>
          <w:fldChar w:fldCharType="separate"/>
        </w:r>
        <w:r w:rsidR="004E4C48">
          <w:rPr>
            <w:noProof/>
            <w:webHidden/>
          </w:rPr>
          <w:t>36</w:t>
        </w:r>
        <w:r w:rsidR="004F0FC4">
          <w:rPr>
            <w:noProof/>
            <w:webHidden/>
          </w:rPr>
          <w:fldChar w:fldCharType="end"/>
        </w:r>
      </w:hyperlink>
    </w:p>
    <w:p w14:paraId="46CFF8F2" w14:textId="30B45BCA" w:rsidR="004F0FC4" w:rsidRDefault="00DB7859">
      <w:pPr>
        <w:pStyle w:val="TOC2"/>
        <w:rPr>
          <w:rFonts w:asciiTheme="minorHAnsi" w:eastAsiaTheme="minorEastAsia" w:hAnsiTheme="minorHAnsi" w:cstheme="minorBidi"/>
          <w:noProof/>
          <w:color w:val="auto"/>
          <w:sz w:val="22"/>
          <w:szCs w:val="22"/>
        </w:rPr>
      </w:pPr>
      <w:hyperlink w:anchor="_Toc529783790" w:history="1">
        <w:r w:rsidR="004F0FC4" w:rsidRPr="000C7CE7">
          <w:rPr>
            <w:rStyle w:val="Hyperlink"/>
            <w:noProof/>
          </w:rPr>
          <w:t>6.6</w:t>
        </w:r>
        <w:r w:rsidR="004F0FC4">
          <w:rPr>
            <w:rFonts w:asciiTheme="minorHAnsi" w:eastAsiaTheme="minorEastAsia" w:hAnsiTheme="minorHAnsi" w:cstheme="minorBidi"/>
            <w:noProof/>
            <w:color w:val="auto"/>
            <w:sz w:val="22"/>
            <w:szCs w:val="22"/>
          </w:rPr>
          <w:tab/>
        </w:r>
        <w:r w:rsidR="004F0FC4" w:rsidRPr="000C7CE7">
          <w:rPr>
            <w:rStyle w:val="Hyperlink"/>
            <w:noProof/>
          </w:rPr>
          <w:t>Options selection, including strategies and tactics</w:t>
        </w:r>
        <w:r w:rsidR="004F0FC4">
          <w:rPr>
            <w:noProof/>
            <w:webHidden/>
          </w:rPr>
          <w:tab/>
        </w:r>
        <w:r w:rsidR="004F0FC4">
          <w:rPr>
            <w:noProof/>
            <w:webHidden/>
          </w:rPr>
          <w:fldChar w:fldCharType="begin"/>
        </w:r>
        <w:r w:rsidR="004F0FC4">
          <w:rPr>
            <w:noProof/>
            <w:webHidden/>
          </w:rPr>
          <w:instrText xml:space="preserve"> PAGEREF _Toc529783790 \h </w:instrText>
        </w:r>
        <w:r w:rsidR="004F0FC4">
          <w:rPr>
            <w:noProof/>
            <w:webHidden/>
          </w:rPr>
        </w:r>
        <w:r w:rsidR="004F0FC4">
          <w:rPr>
            <w:noProof/>
            <w:webHidden/>
          </w:rPr>
          <w:fldChar w:fldCharType="separate"/>
        </w:r>
        <w:r w:rsidR="004E4C48">
          <w:rPr>
            <w:noProof/>
            <w:webHidden/>
          </w:rPr>
          <w:t>37</w:t>
        </w:r>
        <w:r w:rsidR="004F0FC4">
          <w:rPr>
            <w:noProof/>
            <w:webHidden/>
          </w:rPr>
          <w:fldChar w:fldCharType="end"/>
        </w:r>
      </w:hyperlink>
    </w:p>
    <w:p w14:paraId="338E4162" w14:textId="29FBD431" w:rsidR="004F0FC4" w:rsidRDefault="00DB7859">
      <w:pPr>
        <w:pStyle w:val="TOC1"/>
        <w:rPr>
          <w:rFonts w:asciiTheme="minorHAnsi" w:eastAsiaTheme="minorEastAsia" w:hAnsiTheme="minorHAnsi" w:cstheme="minorBidi"/>
          <w:b w:val="0"/>
          <w:bCs w:val="0"/>
          <w:color w:val="auto"/>
          <w:sz w:val="22"/>
          <w:szCs w:val="22"/>
        </w:rPr>
      </w:pPr>
      <w:hyperlink w:anchor="_Toc529783791" w:history="1">
        <w:r w:rsidR="004F0FC4" w:rsidRPr="000C7CE7">
          <w:rPr>
            <w:rStyle w:val="Hyperlink"/>
          </w:rPr>
          <w:t>7</w:t>
        </w:r>
        <w:r w:rsidR="004F0FC4">
          <w:rPr>
            <w:rFonts w:asciiTheme="minorHAnsi" w:eastAsiaTheme="minorEastAsia" w:hAnsiTheme="minorHAnsi" w:cstheme="minorBidi"/>
            <w:b w:val="0"/>
            <w:bCs w:val="0"/>
            <w:color w:val="auto"/>
            <w:sz w:val="22"/>
            <w:szCs w:val="22"/>
          </w:rPr>
          <w:tab/>
        </w:r>
        <w:r w:rsidR="004F0FC4" w:rsidRPr="000C7CE7">
          <w:rPr>
            <w:rStyle w:val="Hyperlink"/>
          </w:rPr>
          <w:t>Information management</w:t>
        </w:r>
        <w:r w:rsidR="004F0FC4">
          <w:rPr>
            <w:webHidden/>
          </w:rPr>
          <w:tab/>
        </w:r>
        <w:r w:rsidR="004F0FC4">
          <w:rPr>
            <w:webHidden/>
          </w:rPr>
          <w:fldChar w:fldCharType="begin"/>
        </w:r>
        <w:r w:rsidR="004F0FC4">
          <w:rPr>
            <w:webHidden/>
          </w:rPr>
          <w:instrText xml:space="preserve"> PAGEREF _Toc529783791 \h </w:instrText>
        </w:r>
        <w:r w:rsidR="004F0FC4">
          <w:rPr>
            <w:webHidden/>
          </w:rPr>
        </w:r>
        <w:r w:rsidR="004F0FC4">
          <w:rPr>
            <w:webHidden/>
          </w:rPr>
          <w:fldChar w:fldCharType="separate"/>
        </w:r>
        <w:r w:rsidR="004E4C48">
          <w:rPr>
            <w:webHidden/>
          </w:rPr>
          <w:t>39</w:t>
        </w:r>
        <w:r w:rsidR="004F0FC4">
          <w:rPr>
            <w:webHidden/>
          </w:rPr>
          <w:fldChar w:fldCharType="end"/>
        </w:r>
      </w:hyperlink>
    </w:p>
    <w:p w14:paraId="736F14AE" w14:textId="7C1347DF" w:rsidR="004F0FC4" w:rsidRDefault="00DB7859">
      <w:pPr>
        <w:pStyle w:val="TOC2"/>
        <w:rPr>
          <w:rFonts w:asciiTheme="minorHAnsi" w:eastAsiaTheme="minorEastAsia" w:hAnsiTheme="minorHAnsi" w:cstheme="minorBidi"/>
          <w:noProof/>
          <w:color w:val="auto"/>
          <w:sz w:val="22"/>
          <w:szCs w:val="22"/>
        </w:rPr>
      </w:pPr>
      <w:hyperlink w:anchor="_Toc529783792" w:history="1">
        <w:r w:rsidR="004F0FC4" w:rsidRPr="000C7CE7">
          <w:rPr>
            <w:rStyle w:val="Hyperlink"/>
            <w:noProof/>
          </w:rPr>
          <w:t>7.1</w:t>
        </w:r>
        <w:r w:rsidR="004F0FC4">
          <w:rPr>
            <w:rFonts w:asciiTheme="minorHAnsi" w:eastAsiaTheme="minorEastAsia" w:hAnsiTheme="minorHAnsi" w:cstheme="minorBidi"/>
            <w:noProof/>
            <w:color w:val="auto"/>
            <w:sz w:val="22"/>
            <w:szCs w:val="22"/>
          </w:rPr>
          <w:tab/>
        </w:r>
        <w:r w:rsidR="004F0FC4" w:rsidRPr="000C7CE7">
          <w:rPr>
            <w:rStyle w:val="Hyperlink"/>
            <w:noProof/>
          </w:rPr>
          <w:t>Reporting</w:t>
        </w:r>
        <w:r w:rsidR="004F0FC4">
          <w:rPr>
            <w:noProof/>
            <w:webHidden/>
          </w:rPr>
          <w:tab/>
        </w:r>
        <w:r w:rsidR="004F0FC4">
          <w:rPr>
            <w:noProof/>
            <w:webHidden/>
          </w:rPr>
          <w:fldChar w:fldCharType="begin"/>
        </w:r>
        <w:r w:rsidR="004F0FC4">
          <w:rPr>
            <w:noProof/>
            <w:webHidden/>
          </w:rPr>
          <w:instrText xml:space="preserve"> PAGEREF _Toc529783792 \h </w:instrText>
        </w:r>
        <w:r w:rsidR="004F0FC4">
          <w:rPr>
            <w:noProof/>
            <w:webHidden/>
          </w:rPr>
        </w:r>
        <w:r w:rsidR="004F0FC4">
          <w:rPr>
            <w:noProof/>
            <w:webHidden/>
          </w:rPr>
          <w:fldChar w:fldCharType="separate"/>
        </w:r>
        <w:r w:rsidR="004E4C48">
          <w:rPr>
            <w:noProof/>
            <w:webHidden/>
          </w:rPr>
          <w:t>39</w:t>
        </w:r>
        <w:r w:rsidR="004F0FC4">
          <w:rPr>
            <w:noProof/>
            <w:webHidden/>
          </w:rPr>
          <w:fldChar w:fldCharType="end"/>
        </w:r>
      </w:hyperlink>
    </w:p>
    <w:p w14:paraId="07794D60" w14:textId="7DE8F328" w:rsidR="004F0FC4" w:rsidRDefault="00DB7859">
      <w:pPr>
        <w:pStyle w:val="TOC1"/>
        <w:rPr>
          <w:rFonts w:asciiTheme="minorHAnsi" w:eastAsiaTheme="minorEastAsia" w:hAnsiTheme="minorHAnsi" w:cstheme="minorBidi"/>
          <w:b w:val="0"/>
          <w:bCs w:val="0"/>
          <w:color w:val="auto"/>
          <w:sz w:val="22"/>
          <w:szCs w:val="22"/>
        </w:rPr>
      </w:pPr>
      <w:hyperlink w:anchor="_Toc529783793" w:history="1">
        <w:r w:rsidR="004F0FC4" w:rsidRPr="000C7CE7">
          <w:rPr>
            <w:rStyle w:val="Hyperlink"/>
          </w:rPr>
          <w:t>8</w:t>
        </w:r>
        <w:r w:rsidR="004F0FC4">
          <w:rPr>
            <w:rFonts w:asciiTheme="minorHAnsi" w:eastAsiaTheme="minorEastAsia" w:hAnsiTheme="minorHAnsi" w:cstheme="minorBidi"/>
            <w:b w:val="0"/>
            <w:bCs w:val="0"/>
            <w:color w:val="auto"/>
            <w:sz w:val="22"/>
            <w:szCs w:val="22"/>
          </w:rPr>
          <w:tab/>
        </w:r>
        <w:r w:rsidR="004F0FC4" w:rsidRPr="000C7CE7">
          <w:rPr>
            <w:rStyle w:val="Hyperlink"/>
          </w:rPr>
          <w:t>Communications, community engagement and media</w:t>
        </w:r>
        <w:r w:rsidR="004F0FC4">
          <w:rPr>
            <w:webHidden/>
          </w:rPr>
          <w:tab/>
        </w:r>
        <w:r w:rsidR="004F0FC4">
          <w:rPr>
            <w:webHidden/>
          </w:rPr>
          <w:fldChar w:fldCharType="begin"/>
        </w:r>
        <w:r w:rsidR="004F0FC4">
          <w:rPr>
            <w:webHidden/>
          </w:rPr>
          <w:instrText xml:space="preserve"> PAGEREF _Toc529783793 \h </w:instrText>
        </w:r>
        <w:r w:rsidR="004F0FC4">
          <w:rPr>
            <w:webHidden/>
          </w:rPr>
        </w:r>
        <w:r w:rsidR="004F0FC4">
          <w:rPr>
            <w:webHidden/>
          </w:rPr>
          <w:fldChar w:fldCharType="separate"/>
        </w:r>
        <w:r w:rsidR="004E4C48">
          <w:rPr>
            <w:webHidden/>
          </w:rPr>
          <w:t>42</w:t>
        </w:r>
        <w:r w:rsidR="004F0FC4">
          <w:rPr>
            <w:webHidden/>
          </w:rPr>
          <w:fldChar w:fldCharType="end"/>
        </w:r>
      </w:hyperlink>
    </w:p>
    <w:p w14:paraId="539A2095" w14:textId="653C840C" w:rsidR="004F0FC4" w:rsidRDefault="00DB7859">
      <w:pPr>
        <w:pStyle w:val="TOC1"/>
        <w:rPr>
          <w:rFonts w:asciiTheme="minorHAnsi" w:eastAsiaTheme="minorEastAsia" w:hAnsiTheme="minorHAnsi" w:cstheme="minorBidi"/>
          <w:b w:val="0"/>
          <w:bCs w:val="0"/>
          <w:color w:val="auto"/>
          <w:sz w:val="22"/>
          <w:szCs w:val="22"/>
        </w:rPr>
      </w:pPr>
      <w:hyperlink w:anchor="_Toc529783794" w:history="1">
        <w:r w:rsidR="004F0FC4" w:rsidRPr="000C7CE7">
          <w:rPr>
            <w:rStyle w:val="Hyperlink"/>
          </w:rPr>
          <w:t>9</w:t>
        </w:r>
        <w:r w:rsidR="004F0FC4">
          <w:rPr>
            <w:rFonts w:asciiTheme="minorHAnsi" w:eastAsiaTheme="minorEastAsia" w:hAnsiTheme="minorHAnsi" w:cstheme="minorBidi"/>
            <w:b w:val="0"/>
            <w:bCs w:val="0"/>
            <w:color w:val="auto"/>
            <w:sz w:val="22"/>
            <w:szCs w:val="22"/>
          </w:rPr>
          <w:tab/>
        </w:r>
        <w:r w:rsidR="004F0FC4" w:rsidRPr="000C7CE7">
          <w:rPr>
            <w:rStyle w:val="Hyperlink"/>
          </w:rPr>
          <w:t>Work health and safety</w:t>
        </w:r>
        <w:r w:rsidR="004F0FC4">
          <w:rPr>
            <w:webHidden/>
          </w:rPr>
          <w:tab/>
        </w:r>
        <w:r w:rsidR="004F0FC4">
          <w:rPr>
            <w:webHidden/>
          </w:rPr>
          <w:fldChar w:fldCharType="begin"/>
        </w:r>
        <w:r w:rsidR="004F0FC4">
          <w:rPr>
            <w:webHidden/>
          </w:rPr>
          <w:instrText xml:space="preserve"> PAGEREF _Toc529783794 \h </w:instrText>
        </w:r>
        <w:r w:rsidR="004F0FC4">
          <w:rPr>
            <w:webHidden/>
          </w:rPr>
        </w:r>
        <w:r w:rsidR="004F0FC4">
          <w:rPr>
            <w:webHidden/>
          </w:rPr>
          <w:fldChar w:fldCharType="separate"/>
        </w:r>
        <w:r w:rsidR="004E4C48">
          <w:rPr>
            <w:webHidden/>
          </w:rPr>
          <w:t>43</w:t>
        </w:r>
        <w:r w:rsidR="004F0FC4">
          <w:rPr>
            <w:webHidden/>
          </w:rPr>
          <w:fldChar w:fldCharType="end"/>
        </w:r>
      </w:hyperlink>
    </w:p>
    <w:p w14:paraId="5AE0E39F" w14:textId="44E24717" w:rsidR="004F0FC4" w:rsidRDefault="00DB7859">
      <w:pPr>
        <w:pStyle w:val="TOC1"/>
        <w:rPr>
          <w:rFonts w:asciiTheme="minorHAnsi" w:eastAsiaTheme="minorEastAsia" w:hAnsiTheme="minorHAnsi" w:cstheme="minorBidi"/>
          <w:b w:val="0"/>
          <w:bCs w:val="0"/>
          <w:color w:val="auto"/>
          <w:sz w:val="22"/>
          <w:szCs w:val="22"/>
        </w:rPr>
      </w:pPr>
      <w:hyperlink w:anchor="_Toc529783795" w:history="1">
        <w:r w:rsidR="004F0FC4" w:rsidRPr="000C7CE7">
          <w:rPr>
            <w:rStyle w:val="Hyperlink"/>
          </w:rPr>
          <w:t>10</w:t>
        </w:r>
        <w:r w:rsidR="004F0FC4">
          <w:rPr>
            <w:rFonts w:asciiTheme="minorHAnsi" w:eastAsiaTheme="minorEastAsia" w:hAnsiTheme="minorHAnsi" w:cstheme="minorBidi"/>
            <w:b w:val="0"/>
            <w:bCs w:val="0"/>
            <w:color w:val="auto"/>
            <w:sz w:val="22"/>
            <w:szCs w:val="22"/>
          </w:rPr>
          <w:tab/>
        </w:r>
        <w:r w:rsidR="004F0FC4" w:rsidRPr="000C7CE7">
          <w:rPr>
            <w:rStyle w:val="Hyperlink"/>
          </w:rPr>
          <w:t>Animal welfare</w:t>
        </w:r>
        <w:r w:rsidR="004F0FC4">
          <w:rPr>
            <w:webHidden/>
          </w:rPr>
          <w:tab/>
        </w:r>
        <w:r w:rsidR="004F0FC4">
          <w:rPr>
            <w:webHidden/>
          </w:rPr>
          <w:fldChar w:fldCharType="begin"/>
        </w:r>
        <w:r w:rsidR="004F0FC4">
          <w:rPr>
            <w:webHidden/>
          </w:rPr>
          <w:instrText xml:space="preserve"> PAGEREF _Toc529783795 \h </w:instrText>
        </w:r>
        <w:r w:rsidR="004F0FC4">
          <w:rPr>
            <w:webHidden/>
          </w:rPr>
        </w:r>
        <w:r w:rsidR="004F0FC4">
          <w:rPr>
            <w:webHidden/>
          </w:rPr>
          <w:fldChar w:fldCharType="separate"/>
        </w:r>
        <w:r w:rsidR="004E4C48">
          <w:rPr>
            <w:webHidden/>
          </w:rPr>
          <w:t>44</w:t>
        </w:r>
        <w:r w:rsidR="004F0FC4">
          <w:rPr>
            <w:webHidden/>
          </w:rPr>
          <w:fldChar w:fldCharType="end"/>
        </w:r>
      </w:hyperlink>
    </w:p>
    <w:p w14:paraId="00892F65" w14:textId="7B2B4A80" w:rsidR="004F0FC4" w:rsidRDefault="00DB7859">
      <w:pPr>
        <w:pStyle w:val="TOC1"/>
        <w:rPr>
          <w:rFonts w:asciiTheme="minorHAnsi" w:eastAsiaTheme="minorEastAsia" w:hAnsiTheme="minorHAnsi" w:cstheme="minorBidi"/>
          <w:b w:val="0"/>
          <w:bCs w:val="0"/>
          <w:color w:val="auto"/>
          <w:sz w:val="22"/>
          <w:szCs w:val="22"/>
        </w:rPr>
      </w:pPr>
      <w:hyperlink w:anchor="_Toc529783796" w:history="1">
        <w:r w:rsidR="004F0FC4" w:rsidRPr="000C7CE7">
          <w:rPr>
            <w:rStyle w:val="Hyperlink"/>
          </w:rPr>
          <w:t>11</w:t>
        </w:r>
        <w:r w:rsidR="004F0FC4">
          <w:rPr>
            <w:rFonts w:asciiTheme="minorHAnsi" w:eastAsiaTheme="minorEastAsia" w:hAnsiTheme="minorHAnsi" w:cstheme="minorBidi"/>
            <w:b w:val="0"/>
            <w:bCs w:val="0"/>
            <w:color w:val="auto"/>
            <w:sz w:val="22"/>
            <w:szCs w:val="22"/>
          </w:rPr>
          <w:tab/>
        </w:r>
        <w:r w:rsidR="004F0FC4" w:rsidRPr="000C7CE7">
          <w:rPr>
            <w:rStyle w:val="Hyperlink"/>
          </w:rPr>
          <w:t>Finance and administration management</w:t>
        </w:r>
        <w:r w:rsidR="004F0FC4">
          <w:rPr>
            <w:webHidden/>
          </w:rPr>
          <w:tab/>
        </w:r>
        <w:r w:rsidR="004F0FC4">
          <w:rPr>
            <w:webHidden/>
          </w:rPr>
          <w:fldChar w:fldCharType="begin"/>
        </w:r>
        <w:r w:rsidR="004F0FC4">
          <w:rPr>
            <w:webHidden/>
          </w:rPr>
          <w:instrText xml:space="preserve"> PAGEREF _Toc529783796 \h </w:instrText>
        </w:r>
        <w:r w:rsidR="004F0FC4">
          <w:rPr>
            <w:webHidden/>
          </w:rPr>
        </w:r>
        <w:r w:rsidR="004F0FC4">
          <w:rPr>
            <w:webHidden/>
          </w:rPr>
          <w:fldChar w:fldCharType="separate"/>
        </w:r>
        <w:r w:rsidR="004E4C48">
          <w:rPr>
            <w:webHidden/>
          </w:rPr>
          <w:t>45</w:t>
        </w:r>
        <w:r w:rsidR="004F0FC4">
          <w:rPr>
            <w:webHidden/>
          </w:rPr>
          <w:fldChar w:fldCharType="end"/>
        </w:r>
      </w:hyperlink>
    </w:p>
    <w:p w14:paraId="29EBE6FF" w14:textId="1E0F1258" w:rsidR="004F0FC4" w:rsidRDefault="00DB7859">
      <w:pPr>
        <w:pStyle w:val="TOC1"/>
        <w:tabs>
          <w:tab w:val="left" w:pos="1440"/>
        </w:tabs>
        <w:rPr>
          <w:rFonts w:asciiTheme="minorHAnsi" w:eastAsiaTheme="minorEastAsia" w:hAnsiTheme="minorHAnsi" w:cstheme="minorBidi"/>
          <w:b w:val="0"/>
          <w:bCs w:val="0"/>
          <w:color w:val="auto"/>
          <w:sz w:val="22"/>
          <w:szCs w:val="22"/>
        </w:rPr>
      </w:pPr>
      <w:hyperlink w:anchor="_Toc529783797" w:history="1">
        <w:r w:rsidR="004F0FC4" w:rsidRPr="000C7CE7">
          <w:rPr>
            <w:rStyle w:val="Hyperlink"/>
          </w:rPr>
          <w:t>Appendix 1</w:t>
        </w:r>
        <w:r w:rsidR="004F0FC4">
          <w:rPr>
            <w:rFonts w:asciiTheme="minorHAnsi" w:eastAsiaTheme="minorEastAsia" w:hAnsiTheme="minorHAnsi" w:cstheme="minorBidi"/>
            <w:b w:val="0"/>
            <w:bCs w:val="0"/>
            <w:color w:val="auto"/>
            <w:sz w:val="22"/>
            <w:szCs w:val="22"/>
          </w:rPr>
          <w:tab/>
        </w:r>
        <w:r w:rsidR="004F0FC4" w:rsidRPr="000C7CE7">
          <w:rPr>
            <w:rStyle w:val="Hyperlink"/>
          </w:rPr>
          <w:t>National Biosecurity Incident Response Plan template</w:t>
        </w:r>
        <w:r w:rsidR="004F0FC4">
          <w:rPr>
            <w:webHidden/>
          </w:rPr>
          <w:tab/>
        </w:r>
        <w:r w:rsidR="004F0FC4">
          <w:rPr>
            <w:webHidden/>
          </w:rPr>
          <w:fldChar w:fldCharType="begin"/>
        </w:r>
        <w:r w:rsidR="004F0FC4">
          <w:rPr>
            <w:webHidden/>
          </w:rPr>
          <w:instrText xml:space="preserve"> PAGEREF _Toc529783797 \h </w:instrText>
        </w:r>
        <w:r w:rsidR="004F0FC4">
          <w:rPr>
            <w:webHidden/>
          </w:rPr>
        </w:r>
        <w:r w:rsidR="004F0FC4">
          <w:rPr>
            <w:webHidden/>
          </w:rPr>
          <w:fldChar w:fldCharType="separate"/>
        </w:r>
        <w:r w:rsidR="004E4C48">
          <w:rPr>
            <w:webHidden/>
          </w:rPr>
          <w:t>48</w:t>
        </w:r>
        <w:r w:rsidR="004F0FC4">
          <w:rPr>
            <w:webHidden/>
          </w:rPr>
          <w:fldChar w:fldCharType="end"/>
        </w:r>
      </w:hyperlink>
    </w:p>
    <w:p w14:paraId="5A098C0B" w14:textId="784FE6CB" w:rsidR="004F0FC4" w:rsidRDefault="00DB7859">
      <w:pPr>
        <w:pStyle w:val="TOC1"/>
        <w:tabs>
          <w:tab w:val="left" w:pos="1440"/>
        </w:tabs>
        <w:rPr>
          <w:rFonts w:asciiTheme="minorHAnsi" w:eastAsiaTheme="minorEastAsia" w:hAnsiTheme="minorHAnsi" w:cstheme="minorBidi"/>
          <w:b w:val="0"/>
          <w:bCs w:val="0"/>
          <w:color w:val="auto"/>
          <w:sz w:val="22"/>
          <w:szCs w:val="22"/>
        </w:rPr>
      </w:pPr>
      <w:hyperlink w:anchor="_Toc529783798" w:history="1">
        <w:r w:rsidR="004F0FC4" w:rsidRPr="000C7CE7">
          <w:rPr>
            <w:rStyle w:val="Hyperlink"/>
          </w:rPr>
          <w:t>Appendix 2</w:t>
        </w:r>
        <w:r w:rsidR="004F0FC4">
          <w:rPr>
            <w:rFonts w:asciiTheme="minorHAnsi" w:eastAsiaTheme="minorEastAsia" w:hAnsiTheme="minorHAnsi" w:cstheme="minorBidi"/>
            <w:b w:val="0"/>
            <w:bCs w:val="0"/>
            <w:color w:val="auto"/>
            <w:sz w:val="22"/>
            <w:szCs w:val="22"/>
          </w:rPr>
          <w:tab/>
        </w:r>
        <w:r w:rsidR="004F0FC4" w:rsidRPr="000C7CE7">
          <w:rPr>
            <w:rStyle w:val="Hyperlink"/>
          </w:rPr>
          <w:t>Situation report template and guidelines</w:t>
        </w:r>
        <w:r w:rsidR="004F0FC4">
          <w:rPr>
            <w:webHidden/>
          </w:rPr>
          <w:tab/>
        </w:r>
        <w:r w:rsidR="004F0FC4">
          <w:rPr>
            <w:webHidden/>
          </w:rPr>
          <w:fldChar w:fldCharType="begin"/>
        </w:r>
        <w:r w:rsidR="004F0FC4">
          <w:rPr>
            <w:webHidden/>
          </w:rPr>
          <w:instrText xml:space="preserve"> PAGEREF _Toc529783798 \h </w:instrText>
        </w:r>
        <w:r w:rsidR="004F0FC4">
          <w:rPr>
            <w:webHidden/>
          </w:rPr>
        </w:r>
        <w:r w:rsidR="004F0FC4">
          <w:rPr>
            <w:webHidden/>
          </w:rPr>
          <w:fldChar w:fldCharType="separate"/>
        </w:r>
        <w:r w:rsidR="004E4C48">
          <w:rPr>
            <w:webHidden/>
          </w:rPr>
          <w:t>51</w:t>
        </w:r>
        <w:r w:rsidR="004F0FC4">
          <w:rPr>
            <w:webHidden/>
          </w:rPr>
          <w:fldChar w:fldCharType="end"/>
        </w:r>
      </w:hyperlink>
    </w:p>
    <w:p w14:paraId="3B4E6B4F" w14:textId="75F038A6" w:rsidR="004F0FC4" w:rsidRDefault="00DB7859">
      <w:pPr>
        <w:pStyle w:val="TOC1"/>
        <w:tabs>
          <w:tab w:val="left" w:pos="1440"/>
        </w:tabs>
        <w:rPr>
          <w:rFonts w:asciiTheme="minorHAnsi" w:eastAsiaTheme="minorEastAsia" w:hAnsiTheme="minorHAnsi" w:cstheme="minorBidi"/>
          <w:b w:val="0"/>
          <w:bCs w:val="0"/>
          <w:color w:val="auto"/>
          <w:sz w:val="22"/>
          <w:szCs w:val="22"/>
        </w:rPr>
      </w:pPr>
      <w:hyperlink w:anchor="_Toc529783799" w:history="1">
        <w:r w:rsidR="004F0FC4" w:rsidRPr="000C7CE7">
          <w:rPr>
            <w:rStyle w:val="Hyperlink"/>
          </w:rPr>
          <w:t>Appendix 3</w:t>
        </w:r>
        <w:r w:rsidR="004F0FC4">
          <w:rPr>
            <w:rFonts w:asciiTheme="minorHAnsi" w:eastAsiaTheme="minorEastAsia" w:hAnsiTheme="minorHAnsi" w:cstheme="minorBidi"/>
            <w:b w:val="0"/>
            <w:bCs w:val="0"/>
            <w:color w:val="auto"/>
            <w:sz w:val="22"/>
            <w:szCs w:val="22"/>
          </w:rPr>
          <w:tab/>
        </w:r>
        <w:r w:rsidR="004F0FC4" w:rsidRPr="000C7CE7">
          <w:rPr>
            <w:rStyle w:val="Hyperlink"/>
          </w:rPr>
          <w:t>Selection of options – appreciation flowchart and guidelines for completion</w:t>
        </w:r>
        <w:r w:rsidR="004F0FC4">
          <w:rPr>
            <w:webHidden/>
          </w:rPr>
          <w:tab/>
        </w:r>
        <w:r w:rsidR="004F0FC4">
          <w:rPr>
            <w:webHidden/>
          </w:rPr>
          <w:fldChar w:fldCharType="begin"/>
        </w:r>
        <w:r w:rsidR="004F0FC4">
          <w:rPr>
            <w:webHidden/>
          </w:rPr>
          <w:instrText xml:space="preserve"> PAGEREF _Toc529783799 \h </w:instrText>
        </w:r>
        <w:r w:rsidR="004F0FC4">
          <w:rPr>
            <w:webHidden/>
          </w:rPr>
        </w:r>
        <w:r w:rsidR="004F0FC4">
          <w:rPr>
            <w:webHidden/>
          </w:rPr>
          <w:fldChar w:fldCharType="separate"/>
        </w:r>
        <w:r w:rsidR="004E4C48">
          <w:rPr>
            <w:webHidden/>
          </w:rPr>
          <w:t>56</w:t>
        </w:r>
        <w:r w:rsidR="004F0FC4">
          <w:rPr>
            <w:webHidden/>
          </w:rPr>
          <w:fldChar w:fldCharType="end"/>
        </w:r>
      </w:hyperlink>
    </w:p>
    <w:p w14:paraId="4A7787AC" w14:textId="51E5C73F" w:rsidR="004F0FC4" w:rsidRDefault="00DB7859">
      <w:pPr>
        <w:pStyle w:val="TOC1"/>
        <w:tabs>
          <w:tab w:val="left" w:pos="1440"/>
        </w:tabs>
        <w:rPr>
          <w:rFonts w:asciiTheme="minorHAnsi" w:eastAsiaTheme="minorEastAsia" w:hAnsiTheme="minorHAnsi" w:cstheme="minorBidi"/>
          <w:b w:val="0"/>
          <w:bCs w:val="0"/>
          <w:color w:val="auto"/>
          <w:sz w:val="22"/>
          <w:szCs w:val="22"/>
        </w:rPr>
      </w:pPr>
      <w:hyperlink w:anchor="_Toc529783800" w:history="1">
        <w:r w:rsidR="004F0FC4" w:rsidRPr="000C7CE7">
          <w:rPr>
            <w:rStyle w:val="Hyperlink"/>
          </w:rPr>
          <w:t>Appendix 4</w:t>
        </w:r>
        <w:r w:rsidR="004F0FC4">
          <w:rPr>
            <w:rFonts w:asciiTheme="minorHAnsi" w:eastAsiaTheme="minorEastAsia" w:hAnsiTheme="minorHAnsi" w:cstheme="minorBidi"/>
            <w:b w:val="0"/>
            <w:bCs w:val="0"/>
            <w:color w:val="auto"/>
            <w:sz w:val="22"/>
            <w:szCs w:val="22"/>
          </w:rPr>
          <w:tab/>
        </w:r>
        <w:r w:rsidR="004F0FC4" w:rsidRPr="000C7CE7">
          <w:rPr>
            <w:rStyle w:val="Hyperlink"/>
          </w:rPr>
          <w:t>Strategic risk assessment template and guidelines</w:t>
        </w:r>
        <w:r w:rsidR="004F0FC4">
          <w:rPr>
            <w:webHidden/>
          </w:rPr>
          <w:tab/>
        </w:r>
        <w:r w:rsidR="004F0FC4">
          <w:rPr>
            <w:webHidden/>
          </w:rPr>
          <w:fldChar w:fldCharType="begin"/>
        </w:r>
        <w:r w:rsidR="004F0FC4">
          <w:rPr>
            <w:webHidden/>
          </w:rPr>
          <w:instrText xml:space="preserve"> PAGEREF _Toc529783800 \h </w:instrText>
        </w:r>
        <w:r w:rsidR="004F0FC4">
          <w:rPr>
            <w:webHidden/>
          </w:rPr>
        </w:r>
        <w:r w:rsidR="004F0FC4">
          <w:rPr>
            <w:webHidden/>
          </w:rPr>
          <w:fldChar w:fldCharType="separate"/>
        </w:r>
        <w:r w:rsidR="004E4C48">
          <w:rPr>
            <w:webHidden/>
          </w:rPr>
          <w:t>60</w:t>
        </w:r>
        <w:r w:rsidR="004F0FC4">
          <w:rPr>
            <w:webHidden/>
          </w:rPr>
          <w:fldChar w:fldCharType="end"/>
        </w:r>
      </w:hyperlink>
    </w:p>
    <w:p w14:paraId="669CA062" w14:textId="2C97667A" w:rsidR="004F0FC4" w:rsidRDefault="00DB7859">
      <w:pPr>
        <w:pStyle w:val="TOC1"/>
        <w:tabs>
          <w:tab w:val="left" w:pos="1440"/>
        </w:tabs>
        <w:rPr>
          <w:rFonts w:asciiTheme="minorHAnsi" w:eastAsiaTheme="minorEastAsia" w:hAnsiTheme="minorHAnsi" w:cstheme="minorBidi"/>
          <w:b w:val="0"/>
          <w:bCs w:val="0"/>
          <w:color w:val="auto"/>
          <w:sz w:val="22"/>
          <w:szCs w:val="22"/>
        </w:rPr>
      </w:pPr>
      <w:hyperlink w:anchor="_Toc529783801" w:history="1">
        <w:r w:rsidR="004F0FC4" w:rsidRPr="000C7CE7">
          <w:rPr>
            <w:rStyle w:val="Hyperlink"/>
          </w:rPr>
          <w:t>Appendix 5</w:t>
        </w:r>
        <w:r w:rsidR="004F0FC4">
          <w:rPr>
            <w:rFonts w:asciiTheme="minorHAnsi" w:eastAsiaTheme="minorEastAsia" w:hAnsiTheme="minorHAnsi" w:cstheme="minorBidi"/>
            <w:b w:val="0"/>
            <w:bCs w:val="0"/>
            <w:color w:val="auto"/>
            <w:sz w:val="22"/>
            <w:szCs w:val="22"/>
          </w:rPr>
          <w:tab/>
        </w:r>
        <w:r w:rsidR="004F0FC4" w:rsidRPr="000C7CE7">
          <w:rPr>
            <w:rStyle w:val="Hyperlink"/>
          </w:rPr>
          <w:t>Communications, Community Engagement and Media Plan template and guidelines</w:t>
        </w:r>
        <w:r w:rsidR="004F0FC4">
          <w:rPr>
            <w:webHidden/>
          </w:rPr>
          <w:tab/>
        </w:r>
        <w:r w:rsidR="004F0FC4">
          <w:rPr>
            <w:webHidden/>
          </w:rPr>
          <w:fldChar w:fldCharType="begin"/>
        </w:r>
        <w:r w:rsidR="004F0FC4">
          <w:rPr>
            <w:webHidden/>
          </w:rPr>
          <w:instrText xml:space="preserve"> PAGEREF _Toc529783801 \h </w:instrText>
        </w:r>
        <w:r w:rsidR="004F0FC4">
          <w:rPr>
            <w:webHidden/>
          </w:rPr>
        </w:r>
        <w:r w:rsidR="004F0FC4">
          <w:rPr>
            <w:webHidden/>
          </w:rPr>
          <w:fldChar w:fldCharType="separate"/>
        </w:r>
        <w:r w:rsidR="004E4C48">
          <w:rPr>
            <w:webHidden/>
          </w:rPr>
          <w:t>72</w:t>
        </w:r>
        <w:r w:rsidR="004F0FC4">
          <w:rPr>
            <w:webHidden/>
          </w:rPr>
          <w:fldChar w:fldCharType="end"/>
        </w:r>
      </w:hyperlink>
    </w:p>
    <w:p w14:paraId="21C1B3B5" w14:textId="7317DA8D" w:rsidR="004F0FC4" w:rsidRDefault="00DB7859">
      <w:pPr>
        <w:pStyle w:val="TOC1"/>
        <w:tabs>
          <w:tab w:val="left" w:pos="1440"/>
        </w:tabs>
        <w:rPr>
          <w:rFonts w:asciiTheme="minorHAnsi" w:eastAsiaTheme="minorEastAsia" w:hAnsiTheme="minorHAnsi" w:cstheme="minorBidi"/>
          <w:b w:val="0"/>
          <w:bCs w:val="0"/>
          <w:color w:val="auto"/>
          <w:sz w:val="22"/>
          <w:szCs w:val="22"/>
        </w:rPr>
      </w:pPr>
      <w:hyperlink w:anchor="_Toc529783802" w:history="1">
        <w:r w:rsidR="004F0FC4" w:rsidRPr="000C7CE7">
          <w:rPr>
            <w:rStyle w:val="Hyperlink"/>
          </w:rPr>
          <w:t>Appendix 6</w:t>
        </w:r>
        <w:r w:rsidR="004F0FC4">
          <w:rPr>
            <w:rFonts w:asciiTheme="minorHAnsi" w:eastAsiaTheme="minorEastAsia" w:hAnsiTheme="minorHAnsi" w:cstheme="minorBidi"/>
            <w:b w:val="0"/>
            <w:bCs w:val="0"/>
            <w:color w:val="auto"/>
            <w:sz w:val="22"/>
            <w:szCs w:val="22"/>
          </w:rPr>
          <w:tab/>
        </w:r>
        <w:r w:rsidR="004F0FC4" w:rsidRPr="000C7CE7">
          <w:rPr>
            <w:rStyle w:val="Hyperlink"/>
          </w:rPr>
          <w:t>Incident Action Plan template for use at LCC level</w:t>
        </w:r>
        <w:r w:rsidR="004F0FC4">
          <w:rPr>
            <w:webHidden/>
          </w:rPr>
          <w:tab/>
        </w:r>
        <w:r w:rsidR="004F0FC4">
          <w:rPr>
            <w:webHidden/>
          </w:rPr>
          <w:fldChar w:fldCharType="begin"/>
        </w:r>
        <w:r w:rsidR="004F0FC4">
          <w:rPr>
            <w:webHidden/>
          </w:rPr>
          <w:instrText xml:space="preserve"> PAGEREF _Toc529783802 \h </w:instrText>
        </w:r>
        <w:r w:rsidR="004F0FC4">
          <w:rPr>
            <w:webHidden/>
          </w:rPr>
        </w:r>
        <w:r w:rsidR="004F0FC4">
          <w:rPr>
            <w:webHidden/>
          </w:rPr>
          <w:fldChar w:fldCharType="separate"/>
        </w:r>
        <w:r w:rsidR="004E4C48">
          <w:rPr>
            <w:webHidden/>
          </w:rPr>
          <w:t>78</w:t>
        </w:r>
        <w:r w:rsidR="004F0FC4">
          <w:rPr>
            <w:webHidden/>
          </w:rPr>
          <w:fldChar w:fldCharType="end"/>
        </w:r>
      </w:hyperlink>
    </w:p>
    <w:p w14:paraId="1F17F402" w14:textId="281242F7" w:rsidR="004F0FC4" w:rsidRDefault="00DB7859">
      <w:pPr>
        <w:pStyle w:val="TOC1"/>
        <w:tabs>
          <w:tab w:val="left" w:pos="1440"/>
        </w:tabs>
        <w:rPr>
          <w:rFonts w:asciiTheme="minorHAnsi" w:eastAsiaTheme="minorEastAsia" w:hAnsiTheme="minorHAnsi" w:cstheme="minorBidi"/>
          <w:b w:val="0"/>
          <w:bCs w:val="0"/>
          <w:color w:val="auto"/>
          <w:sz w:val="22"/>
          <w:szCs w:val="22"/>
        </w:rPr>
      </w:pPr>
      <w:hyperlink w:anchor="_Toc529783803" w:history="1">
        <w:r w:rsidR="004F0FC4" w:rsidRPr="000C7CE7">
          <w:rPr>
            <w:rStyle w:val="Hyperlink"/>
          </w:rPr>
          <w:t>Appendix 7</w:t>
        </w:r>
        <w:r w:rsidR="004F0FC4">
          <w:rPr>
            <w:rFonts w:asciiTheme="minorHAnsi" w:eastAsiaTheme="minorEastAsia" w:hAnsiTheme="minorHAnsi" w:cstheme="minorBidi"/>
            <w:b w:val="0"/>
            <w:bCs w:val="0"/>
            <w:color w:val="auto"/>
            <w:sz w:val="22"/>
            <w:szCs w:val="22"/>
          </w:rPr>
          <w:tab/>
        </w:r>
        <w:r w:rsidR="004F0FC4" w:rsidRPr="000C7CE7">
          <w:rPr>
            <w:rStyle w:val="Hyperlink"/>
          </w:rPr>
          <w:t>Outputs, outcomes and function/role responsible for systems</w:t>
        </w:r>
        <w:r w:rsidR="004F0FC4">
          <w:rPr>
            <w:webHidden/>
          </w:rPr>
          <w:tab/>
        </w:r>
        <w:r w:rsidR="004F0FC4">
          <w:rPr>
            <w:webHidden/>
          </w:rPr>
          <w:fldChar w:fldCharType="begin"/>
        </w:r>
        <w:r w:rsidR="004F0FC4">
          <w:rPr>
            <w:webHidden/>
          </w:rPr>
          <w:instrText xml:space="preserve"> PAGEREF _Toc529783803 \h </w:instrText>
        </w:r>
        <w:r w:rsidR="004F0FC4">
          <w:rPr>
            <w:webHidden/>
          </w:rPr>
        </w:r>
        <w:r w:rsidR="004F0FC4">
          <w:rPr>
            <w:webHidden/>
          </w:rPr>
          <w:fldChar w:fldCharType="separate"/>
        </w:r>
        <w:r w:rsidR="004E4C48">
          <w:rPr>
            <w:webHidden/>
          </w:rPr>
          <w:t>81</w:t>
        </w:r>
        <w:r w:rsidR="004F0FC4">
          <w:rPr>
            <w:webHidden/>
          </w:rPr>
          <w:fldChar w:fldCharType="end"/>
        </w:r>
      </w:hyperlink>
    </w:p>
    <w:p w14:paraId="74F8AE9D" w14:textId="107FE056" w:rsidR="004F0FC4" w:rsidRDefault="00DB7859">
      <w:pPr>
        <w:pStyle w:val="TOC1"/>
        <w:rPr>
          <w:rFonts w:asciiTheme="minorHAnsi" w:eastAsiaTheme="minorEastAsia" w:hAnsiTheme="minorHAnsi" w:cstheme="minorBidi"/>
          <w:b w:val="0"/>
          <w:bCs w:val="0"/>
          <w:color w:val="auto"/>
          <w:sz w:val="22"/>
          <w:szCs w:val="22"/>
        </w:rPr>
      </w:pPr>
      <w:hyperlink w:anchor="_Toc529783804" w:history="1">
        <w:r w:rsidR="004F0FC4" w:rsidRPr="000C7CE7">
          <w:rPr>
            <w:rStyle w:val="Hyperlink"/>
          </w:rPr>
          <w:t>Glossary</w:t>
        </w:r>
        <w:r w:rsidR="004F0FC4">
          <w:rPr>
            <w:webHidden/>
          </w:rPr>
          <w:tab/>
        </w:r>
        <w:r w:rsidR="004F0FC4">
          <w:rPr>
            <w:webHidden/>
          </w:rPr>
          <w:fldChar w:fldCharType="begin"/>
        </w:r>
        <w:r w:rsidR="004F0FC4">
          <w:rPr>
            <w:webHidden/>
          </w:rPr>
          <w:instrText xml:space="preserve"> PAGEREF _Toc529783804 \h </w:instrText>
        </w:r>
        <w:r w:rsidR="004F0FC4">
          <w:rPr>
            <w:webHidden/>
          </w:rPr>
        </w:r>
        <w:r w:rsidR="004F0FC4">
          <w:rPr>
            <w:webHidden/>
          </w:rPr>
          <w:fldChar w:fldCharType="separate"/>
        </w:r>
        <w:r w:rsidR="004E4C48">
          <w:rPr>
            <w:webHidden/>
          </w:rPr>
          <w:t>88</w:t>
        </w:r>
        <w:r w:rsidR="004F0FC4">
          <w:rPr>
            <w:webHidden/>
          </w:rPr>
          <w:fldChar w:fldCharType="end"/>
        </w:r>
      </w:hyperlink>
    </w:p>
    <w:p w14:paraId="034FBE97" w14:textId="3F1F6441" w:rsidR="004F0FC4" w:rsidRDefault="00DB7859">
      <w:pPr>
        <w:pStyle w:val="TOC1"/>
        <w:rPr>
          <w:rFonts w:asciiTheme="minorHAnsi" w:eastAsiaTheme="minorEastAsia" w:hAnsiTheme="minorHAnsi" w:cstheme="minorBidi"/>
          <w:b w:val="0"/>
          <w:bCs w:val="0"/>
          <w:color w:val="auto"/>
          <w:sz w:val="22"/>
          <w:szCs w:val="22"/>
        </w:rPr>
      </w:pPr>
      <w:hyperlink w:anchor="_Toc529783805" w:history="1">
        <w:r w:rsidR="004F0FC4" w:rsidRPr="000C7CE7">
          <w:rPr>
            <w:rStyle w:val="Hyperlink"/>
          </w:rPr>
          <w:t>Abbreviations</w:t>
        </w:r>
        <w:r w:rsidR="004F0FC4">
          <w:rPr>
            <w:webHidden/>
          </w:rPr>
          <w:tab/>
        </w:r>
        <w:r w:rsidR="004F0FC4">
          <w:rPr>
            <w:webHidden/>
          </w:rPr>
          <w:fldChar w:fldCharType="begin"/>
        </w:r>
        <w:r w:rsidR="004F0FC4">
          <w:rPr>
            <w:webHidden/>
          </w:rPr>
          <w:instrText xml:space="preserve"> PAGEREF _Toc529783805 \h </w:instrText>
        </w:r>
        <w:r w:rsidR="004F0FC4">
          <w:rPr>
            <w:webHidden/>
          </w:rPr>
        </w:r>
        <w:r w:rsidR="004F0FC4">
          <w:rPr>
            <w:webHidden/>
          </w:rPr>
          <w:fldChar w:fldCharType="separate"/>
        </w:r>
        <w:r w:rsidR="004E4C48">
          <w:rPr>
            <w:webHidden/>
          </w:rPr>
          <w:t>95</w:t>
        </w:r>
        <w:r w:rsidR="004F0FC4">
          <w:rPr>
            <w:webHidden/>
          </w:rPr>
          <w:fldChar w:fldCharType="end"/>
        </w:r>
      </w:hyperlink>
    </w:p>
    <w:p w14:paraId="254F5C95" w14:textId="245C1CA5" w:rsidR="004F0FC4" w:rsidRDefault="00DB7859">
      <w:pPr>
        <w:pStyle w:val="TOC1"/>
        <w:rPr>
          <w:rFonts w:asciiTheme="minorHAnsi" w:eastAsiaTheme="minorEastAsia" w:hAnsiTheme="minorHAnsi" w:cstheme="minorBidi"/>
          <w:b w:val="0"/>
          <w:bCs w:val="0"/>
          <w:color w:val="auto"/>
          <w:sz w:val="22"/>
          <w:szCs w:val="22"/>
        </w:rPr>
      </w:pPr>
      <w:hyperlink w:anchor="_Toc529783806" w:history="1">
        <w:r w:rsidR="004F0FC4" w:rsidRPr="000C7CE7">
          <w:rPr>
            <w:rStyle w:val="Hyperlink"/>
          </w:rPr>
          <w:t>Useful sources of information</w:t>
        </w:r>
        <w:r w:rsidR="004F0FC4">
          <w:rPr>
            <w:webHidden/>
          </w:rPr>
          <w:tab/>
        </w:r>
        <w:r w:rsidR="004F0FC4">
          <w:rPr>
            <w:webHidden/>
          </w:rPr>
          <w:fldChar w:fldCharType="begin"/>
        </w:r>
        <w:r w:rsidR="004F0FC4">
          <w:rPr>
            <w:webHidden/>
          </w:rPr>
          <w:instrText xml:space="preserve"> PAGEREF _Toc529783806 \h </w:instrText>
        </w:r>
        <w:r w:rsidR="004F0FC4">
          <w:rPr>
            <w:webHidden/>
          </w:rPr>
        </w:r>
        <w:r w:rsidR="004F0FC4">
          <w:rPr>
            <w:webHidden/>
          </w:rPr>
          <w:fldChar w:fldCharType="separate"/>
        </w:r>
        <w:r w:rsidR="004E4C48">
          <w:rPr>
            <w:webHidden/>
          </w:rPr>
          <w:t>96</w:t>
        </w:r>
        <w:r w:rsidR="004F0FC4">
          <w:rPr>
            <w:webHidden/>
          </w:rPr>
          <w:fldChar w:fldCharType="end"/>
        </w:r>
      </w:hyperlink>
    </w:p>
    <w:p w14:paraId="50C16352" w14:textId="58C81E09" w:rsidR="00A66BEF" w:rsidRDefault="00A66BEF" w:rsidP="00A66BEF">
      <w:r>
        <w:fldChar w:fldCharType="end"/>
      </w:r>
    </w:p>
    <w:p w14:paraId="69450485" w14:textId="42C5C7F4" w:rsidR="00EA3F63" w:rsidRDefault="00EA3F63" w:rsidP="00EA3F63">
      <w:pPr>
        <w:pStyle w:val="Heading2a"/>
      </w:pPr>
      <w:r>
        <w:t>Figures</w:t>
      </w:r>
    </w:p>
    <w:p w14:paraId="1DF925B2" w14:textId="77C1A574" w:rsidR="00EA3F63" w:rsidRDefault="00EA3F63">
      <w:pPr>
        <w:pStyle w:val="TOC1"/>
        <w:tabs>
          <w:tab w:val="left" w:pos="1440"/>
        </w:tabs>
        <w:rPr>
          <w:rFonts w:asciiTheme="minorHAnsi" w:eastAsiaTheme="minorEastAsia" w:hAnsiTheme="minorHAnsi" w:cstheme="minorBidi"/>
          <w:b w:val="0"/>
          <w:bCs w:val="0"/>
          <w:color w:val="auto"/>
          <w:sz w:val="22"/>
          <w:szCs w:val="22"/>
        </w:rPr>
      </w:pPr>
      <w:r>
        <w:fldChar w:fldCharType="begin"/>
      </w:r>
      <w:r>
        <w:instrText xml:space="preserve"> TOC \h \z \t "FigureName,1" </w:instrText>
      </w:r>
      <w:r>
        <w:fldChar w:fldCharType="separate"/>
      </w:r>
      <w:hyperlink w:anchor="_Toc527712261" w:history="1">
        <w:r w:rsidRPr="00F70B88">
          <w:rPr>
            <w:rStyle w:val="Hyperlink"/>
          </w:rPr>
          <w:t>Figure 3.1</w:t>
        </w:r>
        <w:r>
          <w:rPr>
            <w:rFonts w:asciiTheme="minorHAnsi" w:eastAsiaTheme="minorEastAsia" w:hAnsiTheme="minorHAnsi" w:cstheme="minorBidi"/>
            <w:b w:val="0"/>
            <w:bCs w:val="0"/>
            <w:color w:val="auto"/>
            <w:sz w:val="22"/>
            <w:szCs w:val="22"/>
          </w:rPr>
          <w:tab/>
        </w:r>
        <w:r w:rsidRPr="00F70B88">
          <w:rPr>
            <w:rStyle w:val="Hyperlink"/>
          </w:rPr>
          <w:t>Organisation of wildlife health management in Australia</w:t>
        </w:r>
        <w:r>
          <w:rPr>
            <w:webHidden/>
          </w:rPr>
          <w:tab/>
        </w:r>
        <w:r>
          <w:rPr>
            <w:webHidden/>
          </w:rPr>
          <w:fldChar w:fldCharType="begin"/>
        </w:r>
        <w:r>
          <w:rPr>
            <w:webHidden/>
          </w:rPr>
          <w:instrText xml:space="preserve"> PAGEREF _Toc527712261 \h </w:instrText>
        </w:r>
        <w:r>
          <w:rPr>
            <w:webHidden/>
          </w:rPr>
        </w:r>
        <w:r>
          <w:rPr>
            <w:webHidden/>
          </w:rPr>
          <w:fldChar w:fldCharType="separate"/>
        </w:r>
        <w:r w:rsidR="004E4C48">
          <w:rPr>
            <w:webHidden/>
          </w:rPr>
          <w:t>16</w:t>
        </w:r>
        <w:r>
          <w:rPr>
            <w:webHidden/>
          </w:rPr>
          <w:fldChar w:fldCharType="end"/>
        </w:r>
      </w:hyperlink>
    </w:p>
    <w:p w14:paraId="7A27E3A5" w14:textId="0E4C4296" w:rsidR="00EA3F63" w:rsidRDefault="00DB7859">
      <w:pPr>
        <w:pStyle w:val="TOC1"/>
        <w:tabs>
          <w:tab w:val="left" w:pos="1440"/>
        </w:tabs>
        <w:rPr>
          <w:rFonts w:asciiTheme="minorHAnsi" w:eastAsiaTheme="minorEastAsia" w:hAnsiTheme="minorHAnsi" w:cstheme="minorBidi"/>
          <w:b w:val="0"/>
          <w:bCs w:val="0"/>
          <w:color w:val="auto"/>
          <w:sz w:val="22"/>
          <w:szCs w:val="22"/>
        </w:rPr>
      </w:pPr>
      <w:hyperlink w:anchor="_Toc527712262" w:history="1">
        <w:r w:rsidR="00EA3F63" w:rsidRPr="00F70B88">
          <w:rPr>
            <w:rStyle w:val="Hyperlink"/>
          </w:rPr>
          <w:t>Figure 3.2</w:t>
        </w:r>
        <w:r w:rsidR="00EA3F63">
          <w:rPr>
            <w:rFonts w:asciiTheme="minorHAnsi" w:eastAsiaTheme="minorEastAsia" w:hAnsiTheme="minorHAnsi" w:cstheme="minorBidi"/>
            <w:b w:val="0"/>
            <w:bCs w:val="0"/>
            <w:color w:val="auto"/>
            <w:sz w:val="22"/>
            <w:szCs w:val="22"/>
          </w:rPr>
          <w:tab/>
        </w:r>
        <w:r w:rsidR="00EA3F63" w:rsidRPr="00F70B88">
          <w:rPr>
            <w:rStyle w:val="Hyperlink"/>
          </w:rPr>
          <w:t>Whole-of-government response in a major or multistate incident</w:t>
        </w:r>
        <w:r w:rsidR="00EA3F63">
          <w:rPr>
            <w:webHidden/>
          </w:rPr>
          <w:tab/>
        </w:r>
        <w:r w:rsidR="00EA3F63">
          <w:rPr>
            <w:webHidden/>
          </w:rPr>
          <w:fldChar w:fldCharType="begin"/>
        </w:r>
        <w:r w:rsidR="00EA3F63">
          <w:rPr>
            <w:webHidden/>
          </w:rPr>
          <w:instrText xml:space="preserve"> PAGEREF _Toc527712262 \h </w:instrText>
        </w:r>
        <w:r w:rsidR="00EA3F63">
          <w:rPr>
            <w:webHidden/>
          </w:rPr>
        </w:r>
        <w:r w:rsidR="00EA3F63">
          <w:rPr>
            <w:webHidden/>
          </w:rPr>
          <w:fldChar w:fldCharType="separate"/>
        </w:r>
        <w:r w:rsidR="004E4C48">
          <w:rPr>
            <w:webHidden/>
          </w:rPr>
          <w:t>17</w:t>
        </w:r>
        <w:r w:rsidR="00EA3F63">
          <w:rPr>
            <w:webHidden/>
          </w:rPr>
          <w:fldChar w:fldCharType="end"/>
        </w:r>
      </w:hyperlink>
    </w:p>
    <w:p w14:paraId="675523CE" w14:textId="72445DA7" w:rsidR="00EA3F63" w:rsidRDefault="00DB7859">
      <w:pPr>
        <w:pStyle w:val="TOC1"/>
        <w:tabs>
          <w:tab w:val="left" w:pos="1440"/>
        </w:tabs>
        <w:rPr>
          <w:rFonts w:asciiTheme="minorHAnsi" w:eastAsiaTheme="minorEastAsia" w:hAnsiTheme="minorHAnsi" w:cstheme="minorBidi"/>
          <w:b w:val="0"/>
          <w:bCs w:val="0"/>
          <w:color w:val="auto"/>
          <w:sz w:val="22"/>
          <w:szCs w:val="22"/>
        </w:rPr>
      </w:pPr>
      <w:hyperlink w:anchor="_Toc527712263" w:history="1">
        <w:r w:rsidR="00EA3F63" w:rsidRPr="00F70B88">
          <w:rPr>
            <w:rStyle w:val="Hyperlink"/>
          </w:rPr>
          <w:t>Figure 3.3</w:t>
        </w:r>
        <w:r w:rsidR="00EA3F63">
          <w:rPr>
            <w:rFonts w:asciiTheme="minorHAnsi" w:eastAsiaTheme="minorEastAsia" w:hAnsiTheme="minorHAnsi" w:cstheme="minorBidi"/>
            <w:b w:val="0"/>
            <w:bCs w:val="0"/>
            <w:color w:val="auto"/>
            <w:sz w:val="22"/>
            <w:szCs w:val="22"/>
          </w:rPr>
          <w:tab/>
        </w:r>
        <w:r w:rsidR="00EA3F63" w:rsidRPr="00F70B88">
          <w:rPr>
            <w:rStyle w:val="Hyperlink"/>
          </w:rPr>
          <w:t>Model response structures in a single state or territory</w:t>
        </w:r>
        <w:r w:rsidR="00EA3F63">
          <w:rPr>
            <w:webHidden/>
          </w:rPr>
          <w:tab/>
        </w:r>
        <w:r w:rsidR="00EA3F63">
          <w:rPr>
            <w:webHidden/>
          </w:rPr>
          <w:fldChar w:fldCharType="begin"/>
        </w:r>
        <w:r w:rsidR="00EA3F63">
          <w:rPr>
            <w:webHidden/>
          </w:rPr>
          <w:instrText xml:space="preserve"> PAGEREF _Toc527712263 \h </w:instrText>
        </w:r>
        <w:r w:rsidR="00EA3F63">
          <w:rPr>
            <w:webHidden/>
          </w:rPr>
        </w:r>
        <w:r w:rsidR="00EA3F63">
          <w:rPr>
            <w:webHidden/>
          </w:rPr>
          <w:fldChar w:fldCharType="separate"/>
        </w:r>
        <w:r w:rsidR="004E4C48">
          <w:rPr>
            <w:webHidden/>
          </w:rPr>
          <w:t>21</w:t>
        </w:r>
        <w:r w:rsidR="00EA3F63">
          <w:rPr>
            <w:webHidden/>
          </w:rPr>
          <w:fldChar w:fldCharType="end"/>
        </w:r>
      </w:hyperlink>
    </w:p>
    <w:p w14:paraId="484B8135" w14:textId="303B4F8E" w:rsidR="00EA3F63" w:rsidRDefault="00DB7859">
      <w:pPr>
        <w:pStyle w:val="TOC1"/>
        <w:tabs>
          <w:tab w:val="left" w:pos="1440"/>
        </w:tabs>
        <w:rPr>
          <w:rFonts w:asciiTheme="minorHAnsi" w:eastAsiaTheme="minorEastAsia" w:hAnsiTheme="minorHAnsi" w:cstheme="minorBidi"/>
          <w:b w:val="0"/>
          <w:bCs w:val="0"/>
          <w:color w:val="auto"/>
          <w:sz w:val="22"/>
          <w:szCs w:val="22"/>
        </w:rPr>
      </w:pPr>
      <w:hyperlink w:anchor="_Toc527712264" w:history="1">
        <w:r w:rsidR="00EA3F63" w:rsidRPr="00F70B88">
          <w:rPr>
            <w:rStyle w:val="Hyperlink"/>
          </w:rPr>
          <w:t>Figure 5.1</w:t>
        </w:r>
        <w:r w:rsidR="00EA3F63">
          <w:rPr>
            <w:rFonts w:asciiTheme="minorHAnsi" w:eastAsiaTheme="minorEastAsia" w:hAnsiTheme="minorHAnsi" w:cstheme="minorBidi"/>
            <w:b w:val="0"/>
            <w:bCs w:val="0"/>
            <w:color w:val="auto"/>
            <w:sz w:val="22"/>
            <w:szCs w:val="22"/>
          </w:rPr>
          <w:tab/>
        </w:r>
        <w:r w:rsidR="00EA3F63" w:rsidRPr="00F70B88">
          <w:rPr>
            <w:rStyle w:val="Hyperlink"/>
          </w:rPr>
          <w:t>Schedule 1 of the NEBRA – flowchart of approach to national biosecurity incident response</w:t>
        </w:r>
        <w:r w:rsidR="00EA3F63">
          <w:rPr>
            <w:webHidden/>
          </w:rPr>
          <w:tab/>
        </w:r>
        <w:r w:rsidR="00EA3F63">
          <w:rPr>
            <w:webHidden/>
          </w:rPr>
          <w:fldChar w:fldCharType="begin"/>
        </w:r>
        <w:r w:rsidR="00EA3F63">
          <w:rPr>
            <w:webHidden/>
          </w:rPr>
          <w:instrText xml:space="preserve"> PAGEREF _Toc527712264 \h </w:instrText>
        </w:r>
        <w:r w:rsidR="00EA3F63">
          <w:rPr>
            <w:webHidden/>
          </w:rPr>
        </w:r>
        <w:r w:rsidR="00EA3F63">
          <w:rPr>
            <w:webHidden/>
          </w:rPr>
          <w:fldChar w:fldCharType="separate"/>
        </w:r>
        <w:r w:rsidR="004E4C48">
          <w:rPr>
            <w:webHidden/>
          </w:rPr>
          <w:t>29</w:t>
        </w:r>
        <w:r w:rsidR="00EA3F63">
          <w:rPr>
            <w:webHidden/>
          </w:rPr>
          <w:fldChar w:fldCharType="end"/>
        </w:r>
      </w:hyperlink>
    </w:p>
    <w:p w14:paraId="13A8B343" w14:textId="1F9DD329" w:rsidR="00EA3F63" w:rsidRDefault="00DB7859">
      <w:pPr>
        <w:pStyle w:val="TOC1"/>
        <w:tabs>
          <w:tab w:val="left" w:pos="1440"/>
        </w:tabs>
        <w:rPr>
          <w:rFonts w:asciiTheme="minorHAnsi" w:eastAsiaTheme="minorEastAsia" w:hAnsiTheme="minorHAnsi" w:cstheme="minorBidi"/>
          <w:b w:val="0"/>
          <w:bCs w:val="0"/>
          <w:color w:val="auto"/>
          <w:sz w:val="22"/>
          <w:szCs w:val="22"/>
        </w:rPr>
      </w:pPr>
      <w:hyperlink w:anchor="_Toc527712265" w:history="1">
        <w:r w:rsidR="00EA3F63" w:rsidRPr="00F70B88">
          <w:rPr>
            <w:rStyle w:val="Hyperlink"/>
          </w:rPr>
          <w:t>Figure A4.1</w:t>
        </w:r>
        <w:r w:rsidR="00EA3F63">
          <w:rPr>
            <w:rFonts w:asciiTheme="minorHAnsi" w:eastAsiaTheme="minorEastAsia" w:hAnsiTheme="minorHAnsi" w:cstheme="minorBidi"/>
            <w:b w:val="0"/>
            <w:bCs w:val="0"/>
            <w:color w:val="auto"/>
            <w:sz w:val="22"/>
            <w:szCs w:val="22"/>
          </w:rPr>
          <w:tab/>
        </w:r>
        <w:r w:rsidR="00EA3F63" w:rsidRPr="00F70B88">
          <w:rPr>
            <w:rStyle w:val="Hyperlink"/>
          </w:rPr>
          <w:t>Appreciation flowchart to support selection of a preferred option, such as for strategy(s) or tactics</w:t>
        </w:r>
        <w:r w:rsidR="00EA3F63">
          <w:rPr>
            <w:webHidden/>
          </w:rPr>
          <w:tab/>
        </w:r>
        <w:r w:rsidR="00EA3F63">
          <w:rPr>
            <w:webHidden/>
          </w:rPr>
          <w:fldChar w:fldCharType="begin"/>
        </w:r>
        <w:r w:rsidR="00EA3F63">
          <w:rPr>
            <w:webHidden/>
          </w:rPr>
          <w:instrText xml:space="preserve"> PAGEREF _Toc527712265 \h </w:instrText>
        </w:r>
        <w:r w:rsidR="00EA3F63">
          <w:rPr>
            <w:webHidden/>
          </w:rPr>
        </w:r>
        <w:r w:rsidR="00EA3F63">
          <w:rPr>
            <w:webHidden/>
          </w:rPr>
          <w:fldChar w:fldCharType="separate"/>
        </w:r>
        <w:r w:rsidR="004E4C48">
          <w:rPr>
            <w:webHidden/>
          </w:rPr>
          <w:t>57</w:t>
        </w:r>
        <w:r w:rsidR="00EA3F63">
          <w:rPr>
            <w:webHidden/>
          </w:rPr>
          <w:fldChar w:fldCharType="end"/>
        </w:r>
      </w:hyperlink>
    </w:p>
    <w:p w14:paraId="3894A49F" w14:textId="38A07306" w:rsidR="00EA3F63" w:rsidRPr="00EA3F63" w:rsidRDefault="00EA3F63" w:rsidP="00EA3F63">
      <w:r>
        <w:fldChar w:fldCharType="end"/>
      </w:r>
    </w:p>
    <w:p w14:paraId="3C6EE8C4" w14:textId="55235E25" w:rsidR="00EA3F63" w:rsidRDefault="00EA3F63" w:rsidP="00EA3F63">
      <w:pPr>
        <w:pStyle w:val="Heading2a"/>
      </w:pPr>
      <w:r>
        <w:t>Tables</w:t>
      </w:r>
    </w:p>
    <w:p w14:paraId="1959B3B4" w14:textId="04D44D3C" w:rsidR="00077C43" w:rsidRDefault="00EA3F63">
      <w:pPr>
        <w:pStyle w:val="TOC1"/>
        <w:tabs>
          <w:tab w:val="left" w:pos="1440"/>
        </w:tabs>
        <w:rPr>
          <w:rFonts w:asciiTheme="minorHAnsi" w:eastAsiaTheme="minorEastAsia" w:hAnsiTheme="minorHAnsi" w:cstheme="minorBidi"/>
          <w:b w:val="0"/>
          <w:bCs w:val="0"/>
          <w:color w:val="auto"/>
          <w:sz w:val="22"/>
          <w:szCs w:val="22"/>
        </w:rPr>
      </w:pPr>
      <w:r>
        <w:fldChar w:fldCharType="begin"/>
      </w:r>
      <w:r>
        <w:instrText xml:space="preserve"> TOC \h \z \t "TableName,1" </w:instrText>
      </w:r>
      <w:r>
        <w:fldChar w:fldCharType="separate"/>
      </w:r>
      <w:hyperlink w:anchor="_Toc527712883" w:history="1">
        <w:r w:rsidR="00077C43" w:rsidRPr="00F0797E">
          <w:rPr>
            <w:rStyle w:val="Hyperlink"/>
          </w:rPr>
          <w:t>Table 1</w:t>
        </w:r>
        <w:r w:rsidR="00077C43">
          <w:rPr>
            <w:rFonts w:asciiTheme="minorHAnsi" w:eastAsiaTheme="minorEastAsia" w:hAnsiTheme="minorHAnsi" w:cstheme="minorBidi"/>
            <w:b w:val="0"/>
            <w:bCs w:val="0"/>
            <w:color w:val="auto"/>
            <w:sz w:val="22"/>
            <w:szCs w:val="22"/>
          </w:rPr>
          <w:tab/>
        </w:r>
        <w:r w:rsidR="00077C43" w:rsidRPr="00F0797E">
          <w:rPr>
            <w:rStyle w:val="Hyperlink"/>
          </w:rPr>
          <w:t>Checklist of key actions to be undertaken during the initial stages of an EWD response</w:t>
        </w:r>
        <w:r w:rsidR="00077C43">
          <w:rPr>
            <w:webHidden/>
          </w:rPr>
          <w:tab/>
        </w:r>
        <w:r w:rsidR="00077C43">
          <w:rPr>
            <w:webHidden/>
          </w:rPr>
          <w:fldChar w:fldCharType="begin"/>
        </w:r>
        <w:r w:rsidR="00077C43">
          <w:rPr>
            <w:webHidden/>
          </w:rPr>
          <w:instrText xml:space="preserve"> PAGEREF _Toc527712883 \h </w:instrText>
        </w:r>
        <w:r w:rsidR="00077C43">
          <w:rPr>
            <w:webHidden/>
          </w:rPr>
        </w:r>
        <w:r w:rsidR="00077C43">
          <w:rPr>
            <w:webHidden/>
          </w:rPr>
          <w:fldChar w:fldCharType="separate"/>
        </w:r>
        <w:r w:rsidR="004E4C48">
          <w:rPr>
            <w:webHidden/>
          </w:rPr>
          <w:t>30</w:t>
        </w:r>
        <w:r w:rsidR="00077C43">
          <w:rPr>
            <w:webHidden/>
          </w:rPr>
          <w:fldChar w:fldCharType="end"/>
        </w:r>
      </w:hyperlink>
    </w:p>
    <w:p w14:paraId="214FAD6D" w14:textId="258008D4" w:rsidR="00077C43" w:rsidRDefault="00DB7859">
      <w:pPr>
        <w:pStyle w:val="TOC1"/>
        <w:tabs>
          <w:tab w:val="left" w:pos="1440"/>
        </w:tabs>
        <w:rPr>
          <w:rFonts w:asciiTheme="minorHAnsi" w:eastAsiaTheme="minorEastAsia" w:hAnsiTheme="minorHAnsi" w:cstheme="minorBidi"/>
          <w:b w:val="0"/>
          <w:bCs w:val="0"/>
          <w:color w:val="auto"/>
          <w:sz w:val="22"/>
          <w:szCs w:val="22"/>
        </w:rPr>
      </w:pPr>
      <w:hyperlink w:anchor="_Toc527712884" w:history="1">
        <w:r w:rsidR="00077C43" w:rsidRPr="00F0797E">
          <w:rPr>
            <w:rStyle w:val="Hyperlink"/>
          </w:rPr>
          <w:t>Table A3.1</w:t>
        </w:r>
        <w:r w:rsidR="00077C43">
          <w:rPr>
            <w:rFonts w:asciiTheme="minorHAnsi" w:eastAsiaTheme="minorEastAsia" w:hAnsiTheme="minorHAnsi" w:cstheme="minorBidi"/>
            <w:b w:val="0"/>
            <w:bCs w:val="0"/>
            <w:color w:val="auto"/>
            <w:sz w:val="22"/>
            <w:szCs w:val="22"/>
          </w:rPr>
          <w:tab/>
        </w:r>
        <w:r w:rsidR="00077C43" w:rsidRPr="00F0797E">
          <w:rPr>
            <w:rStyle w:val="Hyperlink"/>
          </w:rPr>
          <w:t>Appreciation table to support decision making for option selection</w:t>
        </w:r>
        <w:r w:rsidR="00077C43">
          <w:rPr>
            <w:webHidden/>
          </w:rPr>
          <w:tab/>
        </w:r>
        <w:r w:rsidR="00077C43">
          <w:rPr>
            <w:webHidden/>
          </w:rPr>
          <w:fldChar w:fldCharType="begin"/>
        </w:r>
        <w:r w:rsidR="00077C43">
          <w:rPr>
            <w:webHidden/>
          </w:rPr>
          <w:instrText xml:space="preserve"> PAGEREF _Toc527712884 \h </w:instrText>
        </w:r>
        <w:r w:rsidR="00077C43">
          <w:rPr>
            <w:webHidden/>
          </w:rPr>
        </w:r>
        <w:r w:rsidR="00077C43">
          <w:rPr>
            <w:webHidden/>
          </w:rPr>
          <w:fldChar w:fldCharType="separate"/>
        </w:r>
        <w:r w:rsidR="004E4C48">
          <w:rPr>
            <w:webHidden/>
          </w:rPr>
          <w:t>58</w:t>
        </w:r>
        <w:r w:rsidR="00077C43">
          <w:rPr>
            <w:webHidden/>
          </w:rPr>
          <w:fldChar w:fldCharType="end"/>
        </w:r>
      </w:hyperlink>
    </w:p>
    <w:p w14:paraId="08BCE872" w14:textId="042C4BF3" w:rsidR="00077C43" w:rsidRDefault="00DB7859">
      <w:pPr>
        <w:pStyle w:val="TOC1"/>
        <w:tabs>
          <w:tab w:val="left" w:pos="1440"/>
        </w:tabs>
        <w:rPr>
          <w:rFonts w:asciiTheme="minorHAnsi" w:eastAsiaTheme="minorEastAsia" w:hAnsiTheme="minorHAnsi" w:cstheme="minorBidi"/>
          <w:b w:val="0"/>
          <w:bCs w:val="0"/>
          <w:color w:val="auto"/>
          <w:sz w:val="22"/>
          <w:szCs w:val="22"/>
        </w:rPr>
      </w:pPr>
      <w:hyperlink w:anchor="_Toc527712885" w:history="1">
        <w:r w:rsidR="00077C43" w:rsidRPr="00F0797E">
          <w:rPr>
            <w:rStyle w:val="Hyperlink"/>
          </w:rPr>
          <w:t>Table A4.1</w:t>
        </w:r>
        <w:r w:rsidR="00077C43">
          <w:rPr>
            <w:rFonts w:asciiTheme="minorHAnsi" w:eastAsiaTheme="minorEastAsia" w:hAnsiTheme="minorHAnsi" w:cstheme="minorBidi"/>
            <w:b w:val="0"/>
            <w:bCs w:val="0"/>
            <w:color w:val="auto"/>
            <w:sz w:val="22"/>
            <w:szCs w:val="22"/>
          </w:rPr>
          <w:tab/>
        </w:r>
        <w:r w:rsidR="00077C43" w:rsidRPr="00F0797E">
          <w:rPr>
            <w:rStyle w:val="Hyperlink"/>
          </w:rPr>
          <w:t>Strategic risk assessment register</w:t>
        </w:r>
        <w:r w:rsidR="00077C43">
          <w:rPr>
            <w:webHidden/>
          </w:rPr>
          <w:tab/>
        </w:r>
        <w:r w:rsidR="00077C43">
          <w:rPr>
            <w:webHidden/>
          </w:rPr>
          <w:fldChar w:fldCharType="begin"/>
        </w:r>
        <w:r w:rsidR="00077C43">
          <w:rPr>
            <w:webHidden/>
          </w:rPr>
          <w:instrText xml:space="preserve"> PAGEREF _Toc527712885 \h </w:instrText>
        </w:r>
        <w:r w:rsidR="00077C43">
          <w:rPr>
            <w:webHidden/>
          </w:rPr>
        </w:r>
        <w:r w:rsidR="00077C43">
          <w:rPr>
            <w:webHidden/>
          </w:rPr>
          <w:fldChar w:fldCharType="separate"/>
        </w:r>
        <w:r w:rsidR="004E4C48">
          <w:rPr>
            <w:webHidden/>
          </w:rPr>
          <w:t>61</w:t>
        </w:r>
        <w:r w:rsidR="00077C43">
          <w:rPr>
            <w:webHidden/>
          </w:rPr>
          <w:fldChar w:fldCharType="end"/>
        </w:r>
      </w:hyperlink>
    </w:p>
    <w:p w14:paraId="522E1995" w14:textId="3410B9D3" w:rsidR="00077C43" w:rsidRDefault="00DB7859">
      <w:pPr>
        <w:pStyle w:val="TOC1"/>
        <w:tabs>
          <w:tab w:val="left" w:pos="1440"/>
        </w:tabs>
        <w:rPr>
          <w:rFonts w:asciiTheme="minorHAnsi" w:eastAsiaTheme="minorEastAsia" w:hAnsiTheme="minorHAnsi" w:cstheme="minorBidi"/>
          <w:b w:val="0"/>
          <w:bCs w:val="0"/>
          <w:color w:val="auto"/>
          <w:sz w:val="22"/>
          <w:szCs w:val="22"/>
        </w:rPr>
      </w:pPr>
      <w:hyperlink w:anchor="_Toc527712886" w:history="1">
        <w:r w:rsidR="00077C43" w:rsidRPr="00F0797E">
          <w:rPr>
            <w:rStyle w:val="Hyperlink"/>
          </w:rPr>
          <w:t>Table A5.1</w:t>
        </w:r>
        <w:r w:rsidR="00077C43">
          <w:rPr>
            <w:rFonts w:asciiTheme="minorHAnsi" w:eastAsiaTheme="minorEastAsia" w:hAnsiTheme="minorHAnsi" w:cstheme="minorBidi"/>
            <w:b w:val="0"/>
            <w:bCs w:val="0"/>
            <w:color w:val="auto"/>
            <w:sz w:val="22"/>
            <w:szCs w:val="22"/>
          </w:rPr>
          <w:tab/>
        </w:r>
        <w:r w:rsidR="00077C43" w:rsidRPr="00F0797E">
          <w:rPr>
            <w:rStyle w:val="Hyperlink"/>
          </w:rPr>
          <w:t>Stakeholder analysis summary</w:t>
        </w:r>
        <w:r w:rsidR="00077C43">
          <w:rPr>
            <w:webHidden/>
          </w:rPr>
          <w:tab/>
        </w:r>
        <w:r w:rsidR="00077C43">
          <w:rPr>
            <w:webHidden/>
          </w:rPr>
          <w:fldChar w:fldCharType="begin"/>
        </w:r>
        <w:r w:rsidR="00077C43">
          <w:rPr>
            <w:webHidden/>
          </w:rPr>
          <w:instrText xml:space="preserve"> PAGEREF _Toc527712886 \h </w:instrText>
        </w:r>
        <w:r w:rsidR="00077C43">
          <w:rPr>
            <w:webHidden/>
          </w:rPr>
        </w:r>
        <w:r w:rsidR="00077C43">
          <w:rPr>
            <w:webHidden/>
          </w:rPr>
          <w:fldChar w:fldCharType="separate"/>
        </w:r>
        <w:r w:rsidR="004E4C48">
          <w:rPr>
            <w:webHidden/>
          </w:rPr>
          <w:t>73</w:t>
        </w:r>
        <w:r w:rsidR="00077C43">
          <w:rPr>
            <w:webHidden/>
          </w:rPr>
          <w:fldChar w:fldCharType="end"/>
        </w:r>
      </w:hyperlink>
    </w:p>
    <w:p w14:paraId="4D983D7F" w14:textId="50D3FA3A" w:rsidR="00077C43" w:rsidRDefault="00DB7859">
      <w:pPr>
        <w:pStyle w:val="TOC1"/>
        <w:tabs>
          <w:tab w:val="left" w:pos="1440"/>
        </w:tabs>
        <w:rPr>
          <w:rFonts w:asciiTheme="minorHAnsi" w:eastAsiaTheme="minorEastAsia" w:hAnsiTheme="minorHAnsi" w:cstheme="minorBidi"/>
          <w:b w:val="0"/>
          <w:bCs w:val="0"/>
          <w:color w:val="auto"/>
          <w:sz w:val="22"/>
          <w:szCs w:val="22"/>
        </w:rPr>
      </w:pPr>
      <w:hyperlink w:anchor="_Toc527712887" w:history="1">
        <w:r w:rsidR="00077C43" w:rsidRPr="00F0797E">
          <w:rPr>
            <w:rStyle w:val="Hyperlink"/>
          </w:rPr>
          <w:t>Table A6.1</w:t>
        </w:r>
        <w:r w:rsidR="00077C43">
          <w:rPr>
            <w:rFonts w:asciiTheme="minorHAnsi" w:eastAsiaTheme="minorEastAsia" w:hAnsiTheme="minorHAnsi" w:cstheme="minorBidi"/>
            <w:b w:val="0"/>
            <w:bCs w:val="0"/>
            <w:color w:val="auto"/>
            <w:sz w:val="22"/>
            <w:szCs w:val="22"/>
          </w:rPr>
          <w:tab/>
        </w:r>
        <w:r w:rsidR="00077C43" w:rsidRPr="00F0797E">
          <w:rPr>
            <w:rStyle w:val="Hyperlink"/>
          </w:rPr>
          <w:t>Incident Action Plan</w:t>
        </w:r>
        <w:r w:rsidR="00077C43">
          <w:rPr>
            <w:webHidden/>
          </w:rPr>
          <w:tab/>
        </w:r>
        <w:r w:rsidR="00077C43">
          <w:rPr>
            <w:webHidden/>
          </w:rPr>
          <w:fldChar w:fldCharType="begin"/>
        </w:r>
        <w:r w:rsidR="00077C43">
          <w:rPr>
            <w:webHidden/>
          </w:rPr>
          <w:instrText xml:space="preserve"> PAGEREF _Toc527712887 \h </w:instrText>
        </w:r>
        <w:r w:rsidR="00077C43">
          <w:rPr>
            <w:webHidden/>
          </w:rPr>
        </w:r>
        <w:r w:rsidR="00077C43">
          <w:rPr>
            <w:webHidden/>
          </w:rPr>
          <w:fldChar w:fldCharType="separate"/>
        </w:r>
        <w:r w:rsidR="004E4C48">
          <w:rPr>
            <w:webHidden/>
          </w:rPr>
          <w:t>78</w:t>
        </w:r>
        <w:r w:rsidR="00077C43">
          <w:rPr>
            <w:webHidden/>
          </w:rPr>
          <w:fldChar w:fldCharType="end"/>
        </w:r>
      </w:hyperlink>
    </w:p>
    <w:p w14:paraId="647C1F34" w14:textId="209732BF" w:rsidR="00077C43" w:rsidRDefault="00DB7859">
      <w:pPr>
        <w:pStyle w:val="TOC1"/>
        <w:tabs>
          <w:tab w:val="left" w:pos="1440"/>
        </w:tabs>
        <w:rPr>
          <w:rFonts w:asciiTheme="minorHAnsi" w:eastAsiaTheme="minorEastAsia" w:hAnsiTheme="minorHAnsi" w:cstheme="minorBidi"/>
          <w:b w:val="0"/>
          <w:bCs w:val="0"/>
          <w:color w:val="auto"/>
          <w:sz w:val="22"/>
          <w:szCs w:val="22"/>
        </w:rPr>
      </w:pPr>
      <w:hyperlink w:anchor="_Toc527712888" w:history="1">
        <w:r w:rsidR="00077C43" w:rsidRPr="00F0797E">
          <w:rPr>
            <w:rStyle w:val="Hyperlink"/>
          </w:rPr>
          <w:t>Table A7.1</w:t>
        </w:r>
        <w:r w:rsidR="00077C43">
          <w:rPr>
            <w:rFonts w:asciiTheme="minorHAnsi" w:eastAsiaTheme="minorEastAsia" w:hAnsiTheme="minorHAnsi" w:cstheme="minorBidi"/>
            <w:b w:val="0"/>
            <w:bCs w:val="0"/>
            <w:color w:val="auto"/>
            <w:sz w:val="22"/>
            <w:szCs w:val="22"/>
          </w:rPr>
          <w:tab/>
        </w:r>
        <w:r w:rsidR="00077C43" w:rsidRPr="00F0797E">
          <w:rPr>
            <w:rStyle w:val="Hyperlink"/>
          </w:rPr>
          <w:t>Outputs, outcomes and responsibility</w:t>
        </w:r>
        <w:r w:rsidR="00077C43">
          <w:rPr>
            <w:webHidden/>
          </w:rPr>
          <w:tab/>
        </w:r>
        <w:r w:rsidR="00077C43">
          <w:rPr>
            <w:webHidden/>
          </w:rPr>
          <w:fldChar w:fldCharType="begin"/>
        </w:r>
        <w:r w:rsidR="00077C43">
          <w:rPr>
            <w:webHidden/>
          </w:rPr>
          <w:instrText xml:space="preserve"> PAGEREF _Toc527712888 \h </w:instrText>
        </w:r>
        <w:r w:rsidR="00077C43">
          <w:rPr>
            <w:webHidden/>
          </w:rPr>
        </w:r>
        <w:r w:rsidR="00077C43">
          <w:rPr>
            <w:webHidden/>
          </w:rPr>
          <w:fldChar w:fldCharType="separate"/>
        </w:r>
        <w:r w:rsidR="004E4C48">
          <w:rPr>
            <w:webHidden/>
          </w:rPr>
          <w:t>81</w:t>
        </w:r>
        <w:r w:rsidR="00077C43">
          <w:rPr>
            <w:webHidden/>
          </w:rPr>
          <w:fldChar w:fldCharType="end"/>
        </w:r>
      </w:hyperlink>
    </w:p>
    <w:p w14:paraId="48DFA761" w14:textId="2EC01105" w:rsidR="00EA3F63" w:rsidRPr="00EA3F63" w:rsidRDefault="00EA3F63" w:rsidP="00EA3F63">
      <w:r>
        <w:fldChar w:fldCharType="end"/>
      </w:r>
    </w:p>
    <w:p w14:paraId="6906BE77" w14:textId="77777777" w:rsidR="00EA3F63" w:rsidRPr="00A66BEF" w:rsidRDefault="00EA3F63" w:rsidP="00A66BEF"/>
    <w:p w14:paraId="58B4B259" w14:textId="0CAD6297" w:rsidR="004E3648" w:rsidRDefault="004E3648">
      <w:r>
        <w:br w:type="page"/>
      </w:r>
    </w:p>
    <w:p w14:paraId="1093534E" w14:textId="18A00A80" w:rsidR="00982ED1" w:rsidRPr="00CD1000" w:rsidRDefault="00CD5AEF" w:rsidP="00CD5AEF">
      <w:pPr>
        <w:pStyle w:val="Heading1"/>
        <w:rPr>
          <w:rFonts w:cstheme="minorHAnsi"/>
        </w:rPr>
      </w:pPr>
      <w:bookmarkStart w:id="1" w:name="_Toc529783742"/>
      <w:bookmarkStart w:id="2" w:name="_Hlk503940421"/>
      <w:r>
        <w:lastRenderedPageBreak/>
        <w:t>1</w:t>
      </w:r>
      <w:r>
        <w:tab/>
      </w:r>
      <w:r w:rsidR="008F78D3" w:rsidRPr="00CD1000">
        <w:t>Introduction</w:t>
      </w:r>
      <w:bookmarkEnd w:id="1"/>
    </w:p>
    <w:p w14:paraId="067BCA04" w14:textId="1BAD69B1" w:rsidR="003B71E1" w:rsidRPr="003B71E1" w:rsidRDefault="003B71E1" w:rsidP="000C7C57">
      <w:pPr>
        <w:pStyle w:val="Heading2"/>
      </w:pPr>
      <w:bookmarkStart w:id="3" w:name="_Toc529783743"/>
      <w:bookmarkStart w:id="4" w:name="_Toc505692699"/>
      <w:r>
        <w:t>1.</w:t>
      </w:r>
      <w:r w:rsidR="000C7C57">
        <w:t>1</w:t>
      </w:r>
      <w:r>
        <w:tab/>
        <w:t>Purpose</w:t>
      </w:r>
      <w:bookmarkEnd w:id="3"/>
    </w:p>
    <w:p w14:paraId="3BD5D4E3" w14:textId="3E7275E5" w:rsidR="003B71E1" w:rsidRDefault="003B71E1" w:rsidP="003B71E1">
      <w:r w:rsidRPr="002649A0">
        <w:t>The</w:t>
      </w:r>
      <w:r w:rsidR="004D165F">
        <w:t>se</w:t>
      </w:r>
      <w:r w:rsidRPr="002649A0">
        <w:t xml:space="preserve"> </w:t>
      </w:r>
      <w:r w:rsidRPr="004D165F">
        <w:rPr>
          <w:i/>
        </w:rPr>
        <w:t xml:space="preserve">Guidelines </w:t>
      </w:r>
      <w:r w:rsidR="004D165F" w:rsidRPr="004D165F">
        <w:rPr>
          <w:i/>
        </w:rPr>
        <w:t>for management of an emergency wildlife disease response</w:t>
      </w:r>
      <w:r w:rsidR="004D165F" w:rsidRPr="002649A0">
        <w:t xml:space="preserve"> </w:t>
      </w:r>
      <w:r w:rsidRPr="002649A0">
        <w:t xml:space="preserve">are part of </w:t>
      </w:r>
      <w:r>
        <w:t xml:space="preserve">the </w:t>
      </w:r>
      <w:r w:rsidR="004D165F">
        <w:t xml:space="preserve">arrangements for </w:t>
      </w:r>
      <w:r w:rsidRPr="002649A0">
        <w:t xml:space="preserve">preparedness </w:t>
      </w:r>
      <w:r>
        <w:t xml:space="preserve">for </w:t>
      </w:r>
      <w:r w:rsidRPr="002649A0">
        <w:t>an</w:t>
      </w:r>
      <w:r>
        <w:t xml:space="preserve"> </w:t>
      </w:r>
      <w:r w:rsidR="004D165F">
        <w:t>emergency wildlife disease</w:t>
      </w:r>
      <w:r w:rsidR="004D165F" w:rsidRPr="002649A0">
        <w:t xml:space="preserve"> </w:t>
      </w:r>
      <w:r w:rsidR="004D165F">
        <w:t>(</w:t>
      </w:r>
      <w:r w:rsidRPr="002649A0">
        <w:t>EWD</w:t>
      </w:r>
      <w:r w:rsidR="004D165F">
        <w:t>)</w:t>
      </w:r>
      <w:r w:rsidRPr="002649A0">
        <w:t xml:space="preserve"> </w:t>
      </w:r>
      <w:r>
        <w:t>incident</w:t>
      </w:r>
      <w:r w:rsidR="004D165F">
        <w:t>. The arrangements</w:t>
      </w:r>
      <w:r w:rsidRPr="002649A0">
        <w:t xml:space="preserve"> aim to deliver consistent, reproducible</w:t>
      </w:r>
      <w:r>
        <w:t>,</w:t>
      </w:r>
      <w:r w:rsidRPr="002649A0">
        <w:t xml:space="preserve"> structured and systematic responses across Australian states and territories, the Australian Government and any partner organisations</w:t>
      </w:r>
      <w:r>
        <w:t xml:space="preserve">. </w:t>
      </w:r>
      <w:r w:rsidRPr="002649A0">
        <w:t>The</w:t>
      </w:r>
      <w:r>
        <w:t>y</w:t>
      </w:r>
      <w:r w:rsidRPr="002649A0">
        <w:t xml:space="preserve"> provide information and advice to inform a response to an EWD </w:t>
      </w:r>
      <w:r w:rsidR="004D165F">
        <w:t>incident</w:t>
      </w:r>
      <w:r w:rsidR="004D165F" w:rsidRPr="002649A0">
        <w:t xml:space="preserve"> </w:t>
      </w:r>
      <w:r w:rsidRPr="002649A0">
        <w:t>in the terrestrial, marine and aquatic environments</w:t>
      </w:r>
      <w:r>
        <w:t xml:space="preserve">. </w:t>
      </w:r>
      <w:r w:rsidRPr="00B778A9">
        <w:rPr>
          <w:bCs/>
        </w:rPr>
        <w:t xml:space="preserve">The </w:t>
      </w:r>
      <w:r w:rsidR="004D165F">
        <w:rPr>
          <w:bCs/>
        </w:rPr>
        <w:t>g</w:t>
      </w:r>
      <w:r>
        <w:rPr>
          <w:bCs/>
        </w:rPr>
        <w:t xml:space="preserve">uidelines are intended to be a generic, overarching </w:t>
      </w:r>
      <w:r w:rsidR="00EB1037">
        <w:rPr>
          <w:bCs/>
        </w:rPr>
        <w:t>‘</w:t>
      </w:r>
      <w:r>
        <w:rPr>
          <w:bCs/>
        </w:rPr>
        <w:t>s</w:t>
      </w:r>
      <w:r w:rsidRPr="00B778A9">
        <w:rPr>
          <w:bCs/>
        </w:rPr>
        <w:t>ummary</w:t>
      </w:r>
      <w:r w:rsidR="00EB1037">
        <w:rPr>
          <w:bCs/>
        </w:rPr>
        <w:t>’</w:t>
      </w:r>
      <w:r w:rsidRPr="00B778A9">
        <w:rPr>
          <w:bCs/>
        </w:rPr>
        <w:t xml:space="preserve"> document on how to approach an </w:t>
      </w:r>
      <w:r>
        <w:rPr>
          <w:bCs/>
        </w:rPr>
        <w:t>EWD response.</w:t>
      </w:r>
    </w:p>
    <w:p w14:paraId="79AE04A8" w14:textId="2550E57B" w:rsidR="001C0BFD" w:rsidRPr="00654207" w:rsidRDefault="003B71E1" w:rsidP="000C7C57">
      <w:pPr>
        <w:pStyle w:val="Heading2"/>
      </w:pPr>
      <w:bookmarkStart w:id="5" w:name="_Toc529783744"/>
      <w:r>
        <w:t>1.2</w:t>
      </w:r>
      <w:r>
        <w:tab/>
      </w:r>
      <w:r w:rsidR="00473BE9" w:rsidRPr="00D31544">
        <w:t>Rationale</w:t>
      </w:r>
      <w:bookmarkEnd w:id="4"/>
      <w:bookmarkEnd w:id="5"/>
    </w:p>
    <w:p w14:paraId="23F59BEA" w14:textId="6A8449A8" w:rsidR="001C0BFD" w:rsidRPr="00D31544" w:rsidRDefault="00EB1037" w:rsidP="00766FF7">
      <w:r>
        <w:t>The Australian Veterinary Emergency Plan (</w:t>
      </w:r>
      <w:r w:rsidR="00F92B4D">
        <w:t>AUSVETPLAN</w:t>
      </w:r>
      <w:r>
        <w:t>)</w:t>
      </w:r>
      <w:r w:rsidR="00F92B4D">
        <w:t xml:space="preserve"> provides the basis for management of responses to </w:t>
      </w:r>
      <w:r>
        <w:t xml:space="preserve">emergency animal </w:t>
      </w:r>
      <w:r w:rsidR="00F92B4D">
        <w:t xml:space="preserve">diseases </w:t>
      </w:r>
      <w:r>
        <w:t xml:space="preserve">(EADs) </w:t>
      </w:r>
      <w:r w:rsidR="00F92B4D">
        <w:t>in production animals. The management of a response to an EWD needs a similar basis</w:t>
      </w:r>
      <w:r w:rsidR="001C0BFD" w:rsidRPr="00D31544">
        <w:t xml:space="preserve">. </w:t>
      </w:r>
      <w:r>
        <w:t>However, response</w:t>
      </w:r>
      <w:r w:rsidRPr="00D31544">
        <w:t xml:space="preserve"> arrangements</w:t>
      </w:r>
      <w:r>
        <w:t xml:space="preserve"> for a </w:t>
      </w:r>
      <w:r w:rsidR="001C0BFD" w:rsidRPr="00D31544">
        <w:t xml:space="preserve">disease affecting </w:t>
      </w:r>
      <w:r w:rsidR="00ED4E44">
        <w:t xml:space="preserve">native </w:t>
      </w:r>
      <w:r w:rsidR="001C0BFD" w:rsidRPr="00D31544">
        <w:t xml:space="preserve">wildlife </w:t>
      </w:r>
      <w:r>
        <w:t xml:space="preserve">differ from those for diseases in production animals because EWDs </w:t>
      </w:r>
      <w:r w:rsidR="001C0BFD" w:rsidRPr="00D31544">
        <w:t>can also affect people, trade and market access</w:t>
      </w:r>
      <w:r w:rsidR="009A6B13">
        <w:t>, and</w:t>
      </w:r>
      <w:r w:rsidR="001C0BFD" w:rsidRPr="00D31544">
        <w:t xml:space="preserve"> biodiversity</w:t>
      </w:r>
      <w:r w:rsidR="009A6B13">
        <w:t>. I</w:t>
      </w:r>
      <w:r w:rsidR="001C0BFD" w:rsidRPr="00D31544">
        <w:t>n many cases</w:t>
      </w:r>
      <w:r>
        <w:t>,</w:t>
      </w:r>
      <w:r w:rsidR="001C0BFD" w:rsidRPr="00D31544">
        <w:t xml:space="preserve"> the party </w:t>
      </w:r>
      <w:r w:rsidR="008919A3">
        <w:t xml:space="preserve">that </w:t>
      </w:r>
      <w:r>
        <w:t xml:space="preserve">will be </w:t>
      </w:r>
      <w:r w:rsidR="008919A3">
        <w:t xml:space="preserve">most </w:t>
      </w:r>
      <w:r>
        <w:t xml:space="preserve">affected </w:t>
      </w:r>
      <w:r w:rsidR="009A6B13">
        <w:t xml:space="preserve">by an </w:t>
      </w:r>
      <w:r>
        <w:t>EWD</w:t>
      </w:r>
      <w:r w:rsidR="009A6B13">
        <w:t xml:space="preserve"> </w:t>
      </w:r>
      <w:r w:rsidR="00020379">
        <w:t>is not readily identifiable</w:t>
      </w:r>
      <w:r w:rsidR="008919A3">
        <w:t xml:space="preserve"> at the start of an incident</w:t>
      </w:r>
      <w:r w:rsidR="00020379">
        <w:t>.</w:t>
      </w:r>
      <w:r w:rsidR="001C0BFD" w:rsidRPr="00D31544">
        <w:t xml:space="preserve"> </w:t>
      </w:r>
      <w:r w:rsidR="009A6B13">
        <w:t>M</w:t>
      </w:r>
      <w:r w:rsidR="008919A3">
        <w:t xml:space="preserve">any diseases of </w:t>
      </w:r>
      <w:r w:rsidR="005C153A">
        <w:t xml:space="preserve">native </w:t>
      </w:r>
      <w:r w:rsidR="008919A3">
        <w:t>wildlife and their potential impacts are unknown.</w:t>
      </w:r>
    </w:p>
    <w:p w14:paraId="206B35A7" w14:textId="7588C656" w:rsidR="001C0BFD" w:rsidRDefault="001C0BFD" w:rsidP="00766FF7">
      <w:r w:rsidRPr="002117C7">
        <w:t>A high</w:t>
      </w:r>
      <w:r>
        <w:t>-level</w:t>
      </w:r>
      <w:r w:rsidRPr="002117C7">
        <w:t xml:space="preserve"> framework that articulates the authority</w:t>
      </w:r>
      <w:r w:rsidR="00EB1037">
        <w:t>,</w:t>
      </w:r>
      <w:r w:rsidRPr="002117C7">
        <w:t xml:space="preserve"> and roles and responsibilities of agencies during </w:t>
      </w:r>
      <w:r w:rsidR="004E3DF9" w:rsidRPr="002117C7">
        <w:t>an</w:t>
      </w:r>
      <w:r w:rsidRPr="002117C7">
        <w:t xml:space="preserve"> </w:t>
      </w:r>
      <w:r w:rsidR="00636C80">
        <w:t xml:space="preserve">EWD </w:t>
      </w:r>
      <w:r w:rsidR="00636C80" w:rsidRPr="002117C7">
        <w:t>response</w:t>
      </w:r>
      <w:r w:rsidRPr="002117C7">
        <w:t xml:space="preserve">, how </w:t>
      </w:r>
      <w:r w:rsidR="00EB1037">
        <w:t>these are</w:t>
      </w:r>
      <w:r w:rsidRPr="002117C7">
        <w:t xml:space="preserve"> determined, and how </w:t>
      </w:r>
      <w:r w:rsidR="005516CF">
        <w:t>the response is to be managed</w:t>
      </w:r>
      <w:r w:rsidRPr="002117C7">
        <w:t xml:space="preserve"> </w:t>
      </w:r>
      <w:r w:rsidR="00020379">
        <w:t xml:space="preserve">will </w:t>
      </w:r>
      <w:r w:rsidR="00DE55CD">
        <w:t>contribute to</w:t>
      </w:r>
      <w:r w:rsidR="00020379">
        <w:t xml:space="preserve"> a coherent and reproducible response</w:t>
      </w:r>
      <w:r w:rsidRPr="002117C7">
        <w:t>. Despite some differences</w:t>
      </w:r>
      <w:r w:rsidR="00C45947">
        <w:t xml:space="preserve"> from production animals</w:t>
      </w:r>
      <w:r w:rsidRPr="002117C7">
        <w:t xml:space="preserve">, </w:t>
      </w:r>
      <w:r w:rsidR="00ED4E44">
        <w:t xml:space="preserve">native </w:t>
      </w:r>
      <w:r w:rsidRPr="002117C7">
        <w:t>wildlife are just other animal</w:t>
      </w:r>
      <w:r>
        <w:t>s</w:t>
      </w:r>
      <w:r w:rsidRPr="002117C7">
        <w:t xml:space="preserve"> to be managed, and any guidelines should be </w:t>
      </w:r>
      <w:r w:rsidR="00EB1037">
        <w:t>consistent</w:t>
      </w:r>
      <w:r w:rsidR="00EB1037" w:rsidRPr="002117C7">
        <w:t xml:space="preserve"> </w:t>
      </w:r>
      <w:r w:rsidRPr="002117C7">
        <w:t xml:space="preserve">with current </w:t>
      </w:r>
      <w:r>
        <w:t>EAD</w:t>
      </w:r>
      <w:r w:rsidRPr="002117C7">
        <w:t xml:space="preserve"> management documents.</w:t>
      </w:r>
    </w:p>
    <w:p w14:paraId="4BF612BF" w14:textId="034976AD" w:rsidR="001C0BFD" w:rsidRPr="00B301E2" w:rsidRDefault="001C0BFD" w:rsidP="00766FF7">
      <w:r>
        <w:t>Th</w:t>
      </w:r>
      <w:r w:rsidR="00615EA0">
        <w:t>e</w:t>
      </w:r>
      <w:r w:rsidR="00EB1037">
        <w:t>s</w:t>
      </w:r>
      <w:r w:rsidR="00615EA0">
        <w:t>e</w:t>
      </w:r>
      <w:r w:rsidR="00EB1037">
        <w:t xml:space="preserve"> g</w:t>
      </w:r>
      <w:r>
        <w:t xml:space="preserve">uidelines </w:t>
      </w:r>
      <w:r w:rsidRPr="002117C7">
        <w:t>use the AUSVETPLAN framework and pro</w:t>
      </w:r>
      <w:r w:rsidR="00020379">
        <w:t>vide</w:t>
      </w:r>
      <w:r w:rsidRPr="002117C7">
        <w:t xml:space="preserve"> a</w:t>
      </w:r>
      <w:r>
        <w:t xml:space="preserve">n initial </w:t>
      </w:r>
      <w:r w:rsidR="00EB1037">
        <w:t>(</w:t>
      </w:r>
      <w:r>
        <w:t>draft</w:t>
      </w:r>
      <w:r w:rsidR="00EB1037">
        <w:t>)</w:t>
      </w:r>
      <w:r w:rsidRPr="002117C7">
        <w:t xml:space="preserve"> high</w:t>
      </w:r>
      <w:r w:rsidR="00EB1037">
        <w:t>-</w:t>
      </w:r>
      <w:r w:rsidRPr="002117C7">
        <w:t xml:space="preserve">level document </w:t>
      </w:r>
      <w:r>
        <w:t xml:space="preserve">for </w:t>
      </w:r>
      <w:r w:rsidR="00ED4E44">
        <w:t>EWD</w:t>
      </w:r>
      <w:r w:rsidRPr="002117C7">
        <w:t xml:space="preserve"> incidents </w:t>
      </w:r>
      <w:r>
        <w:t>in Australian native animals</w:t>
      </w:r>
      <w:r w:rsidR="00020379">
        <w:t>.</w:t>
      </w:r>
    </w:p>
    <w:p w14:paraId="60A5192E" w14:textId="7889B4F4" w:rsidR="003B71E1" w:rsidRPr="00D31544" w:rsidRDefault="003B71E1" w:rsidP="000C7C57">
      <w:pPr>
        <w:pStyle w:val="Heading2"/>
      </w:pPr>
      <w:bookmarkStart w:id="6" w:name="_Toc505692702"/>
      <w:bookmarkStart w:id="7" w:name="_Toc529783745"/>
      <w:bookmarkStart w:id="8" w:name="_Toc505692701"/>
      <w:bookmarkStart w:id="9" w:name="_Hlk508708470"/>
      <w:r>
        <w:t>1.3</w:t>
      </w:r>
      <w:r>
        <w:tab/>
      </w:r>
      <w:r w:rsidRPr="00D31544">
        <w:t>Scope</w:t>
      </w:r>
      <w:bookmarkEnd w:id="6"/>
      <w:r w:rsidR="00993419">
        <w:t xml:space="preserve"> and application</w:t>
      </w:r>
      <w:bookmarkEnd w:id="7"/>
    </w:p>
    <w:p w14:paraId="38C3D80C" w14:textId="4EC4D496" w:rsidR="003B71E1" w:rsidRDefault="003B71E1" w:rsidP="003B71E1">
      <w:r w:rsidRPr="00067884">
        <w:t xml:space="preserve">The </w:t>
      </w:r>
      <w:r w:rsidRPr="00FC6630">
        <w:t>hazard addressed by th</w:t>
      </w:r>
      <w:r w:rsidR="00EB1037">
        <w:t>ese guidelines</w:t>
      </w:r>
      <w:r w:rsidRPr="00FC6630">
        <w:t xml:space="preserve"> is an </w:t>
      </w:r>
      <w:r w:rsidR="00EB1037">
        <w:t>‘</w:t>
      </w:r>
      <w:r w:rsidRPr="00FC6630">
        <w:t>emergency disease in an Australian native wildlife population</w:t>
      </w:r>
      <w:r w:rsidR="00EB1037">
        <w:t>’</w:t>
      </w:r>
      <w:r w:rsidRPr="00067884">
        <w:t xml:space="preserve">. </w:t>
      </w:r>
      <w:r w:rsidRPr="00FC6630">
        <w:t>Wildlife are defined as unmanaged populations of Australian native wild animals</w:t>
      </w:r>
      <w:r>
        <w:t xml:space="preserve"> </w:t>
      </w:r>
      <w:r w:rsidR="00615EA0">
        <w:t>(</w:t>
      </w:r>
      <w:r>
        <w:t xml:space="preserve">mammals, birds, reptiles </w:t>
      </w:r>
      <w:r w:rsidR="00615EA0">
        <w:t xml:space="preserve">or </w:t>
      </w:r>
      <w:r>
        <w:t>amphibians</w:t>
      </w:r>
      <w:r w:rsidR="00615EA0">
        <w:t>)</w:t>
      </w:r>
      <w:r>
        <w:t xml:space="preserve">. </w:t>
      </w:r>
      <w:r w:rsidR="00615EA0">
        <w:t>An emergency disease is defined as a</w:t>
      </w:r>
      <w:r w:rsidR="00615EA0" w:rsidRPr="00370A53">
        <w:t xml:space="preserve"> disease that is (a) exotic to Australia or (b) a variant of an endemic disease or (c) a serious infectious disease of unknown or uncertain cause or (d) a severe outbreak of a known endemic disease, and that is considered to be of national significance with serious social or trade implications.</w:t>
      </w:r>
    </w:p>
    <w:p w14:paraId="10BA289E" w14:textId="36255F5D" w:rsidR="00737A60" w:rsidRDefault="003B71E1" w:rsidP="003B71E1">
      <w:r>
        <w:t>Disease outbreaks or incursions in Australian native fish are out</w:t>
      </w:r>
      <w:r w:rsidR="00615EA0">
        <w:t xml:space="preserve">side the </w:t>
      </w:r>
      <w:r>
        <w:t xml:space="preserve">scope </w:t>
      </w:r>
      <w:r w:rsidR="00615EA0">
        <w:t xml:space="preserve">of </w:t>
      </w:r>
      <w:r>
        <w:t xml:space="preserve">the </w:t>
      </w:r>
      <w:r w:rsidR="00615EA0">
        <w:t>g</w:t>
      </w:r>
      <w:r>
        <w:t xml:space="preserve">uidelines. </w:t>
      </w:r>
    </w:p>
    <w:p w14:paraId="4C441222" w14:textId="3B66B5E0" w:rsidR="003B71E1" w:rsidRDefault="00737A60" w:rsidP="003B71E1">
      <w:r>
        <w:t>The guidelines</w:t>
      </w:r>
      <w:r w:rsidRPr="002649A0">
        <w:t xml:space="preserve"> may be used for an emergency</w:t>
      </w:r>
      <w:r>
        <w:t xml:space="preserve"> involving an </w:t>
      </w:r>
      <w:r w:rsidRPr="002649A0">
        <w:t>unknown</w:t>
      </w:r>
      <w:r>
        <w:t>,</w:t>
      </w:r>
      <w:r w:rsidRPr="002649A0">
        <w:t xml:space="preserve"> emerging or endemic disease in Australian </w:t>
      </w:r>
      <w:r>
        <w:t xml:space="preserve">native </w:t>
      </w:r>
      <w:r w:rsidRPr="002649A0">
        <w:t>wildlife</w:t>
      </w:r>
      <w:r>
        <w:t xml:space="preserve">. They should </w:t>
      </w:r>
      <w:r w:rsidRPr="00067884">
        <w:t xml:space="preserve">be </w:t>
      </w:r>
      <w:r w:rsidRPr="00FC6630">
        <w:t>used in conjunction with state and territory arrangements, plans, procedures and policies, and relevant components of AUSVETPLAN</w:t>
      </w:r>
      <w:r>
        <w:t>,</w:t>
      </w:r>
      <w:r w:rsidRPr="00FC6630">
        <w:t xml:space="preserve"> such as the </w:t>
      </w:r>
      <w:r>
        <w:t>o</w:t>
      </w:r>
      <w:r w:rsidRPr="00FC6630">
        <w:t xml:space="preserve">perational </w:t>
      </w:r>
      <w:r>
        <w:t>manuals</w:t>
      </w:r>
      <w:r w:rsidRPr="00FC6630">
        <w:t>.</w:t>
      </w:r>
    </w:p>
    <w:p w14:paraId="6A789105" w14:textId="0D4DFAA2" w:rsidR="003B71E1" w:rsidRDefault="003B71E1" w:rsidP="003B71E1">
      <w:r>
        <w:lastRenderedPageBreak/>
        <w:t xml:space="preserve">Arrangements for </w:t>
      </w:r>
      <w:r w:rsidR="006B05A3">
        <w:t xml:space="preserve">a response to </w:t>
      </w:r>
      <w:r>
        <w:t xml:space="preserve">disease outbreaks or incursions in introduced and feral species are presented in the AUSVETPLAN </w:t>
      </w:r>
      <w:r w:rsidRPr="00C45947">
        <w:rPr>
          <w:i/>
        </w:rPr>
        <w:t xml:space="preserve">Wild </w:t>
      </w:r>
      <w:r w:rsidR="00C45947" w:rsidRPr="00C45947">
        <w:rPr>
          <w:i/>
        </w:rPr>
        <w:t>animal response manual</w:t>
      </w:r>
      <w:r>
        <w:t xml:space="preserve"> and specific disease </w:t>
      </w:r>
      <w:r w:rsidR="006B05A3">
        <w:t xml:space="preserve">strategy </w:t>
      </w:r>
      <w:r>
        <w:t>manuals,</w:t>
      </w:r>
      <w:r w:rsidR="00737A60">
        <w:rPr>
          <w:rStyle w:val="FootnoteReference"/>
        </w:rPr>
        <w:footnoteReference w:id="1"/>
      </w:r>
      <w:r>
        <w:t xml:space="preserve"> and the reader is referred to these sources for guidance. The tools and systems of the</w:t>
      </w:r>
      <w:r w:rsidR="006B05A3">
        <w:t xml:space="preserve"> current g</w:t>
      </w:r>
      <w:r>
        <w:t>uidelines can be used in such outbreaks or incursions.</w:t>
      </w:r>
    </w:p>
    <w:p w14:paraId="24A977A7" w14:textId="77777777" w:rsidR="00737A60" w:rsidRPr="00067884" w:rsidRDefault="00737A60" w:rsidP="00737A60">
      <w:r w:rsidRPr="00FC6630">
        <w:t xml:space="preserve">The </w:t>
      </w:r>
      <w:r>
        <w:t>g</w:t>
      </w:r>
      <w:r w:rsidRPr="00FC6630">
        <w:t>uidelines focus on principles, with the understanding that the states and territories can modify them to suit different contexts</w:t>
      </w:r>
      <w:r w:rsidRPr="00067884">
        <w:t>.</w:t>
      </w:r>
    </w:p>
    <w:p w14:paraId="2E605185" w14:textId="582C2273" w:rsidR="003B71E1" w:rsidRDefault="003B71E1" w:rsidP="003B71E1">
      <w:r w:rsidRPr="002649A0">
        <w:t>The</w:t>
      </w:r>
      <w:r w:rsidR="006B05A3">
        <w:t>se</w:t>
      </w:r>
      <w:r w:rsidRPr="002649A0">
        <w:t xml:space="preserve"> </w:t>
      </w:r>
      <w:r w:rsidR="006B05A3">
        <w:t>g</w:t>
      </w:r>
      <w:r w:rsidRPr="002649A0">
        <w:t xml:space="preserve">uidelines do not contain </w:t>
      </w:r>
      <w:r>
        <w:t xml:space="preserve">specific </w:t>
      </w:r>
      <w:r w:rsidRPr="002649A0">
        <w:t>information relating to the technical management of EWD</w:t>
      </w:r>
      <w:r>
        <w:t xml:space="preserve"> </w:t>
      </w:r>
      <w:r w:rsidRPr="002649A0">
        <w:t>responses or post</w:t>
      </w:r>
      <w:r w:rsidR="006B05A3">
        <w:t>-</w:t>
      </w:r>
      <w:r w:rsidRPr="002649A0">
        <w:t>response activities</w:t>
      </w:r>
      <w:r w:rsidR="006B05A3">
        <w:t>,</w:t>
      </w:r>
      <w:r w:rsidRPr="002649A0">
        <w:t xml:space="preserve"> </w:t>
      </w:r>
      <w:r>
        <w:t xml:space="preserve">including recovery activities </w:t>
      </w:r>
      <w:r w:rsidRPr="002649A0">
        <w:t>such</w:t>
      </w:r>
      <w:r>
        <w:t xml:space="preserve"> as</w:t>
      </w:r>
      <w:r w:rsidRPr="002649A0">
        <w:t xml:space="preserve"> </w:t>
      </w:r>
      <w:r>
        <w:t xml:space="preserve">conservation </w:t>
      </w:r>
      <w:r w:rsidRPr="002649A0">
        <w:t>a</w:t>
      </w:r>
      <w:r>
        <w:t>nd</w:t>
      </w:r>
      <w:r w:rsidRPr="002649A0">
        <w:t xml:space="preserve"> </w:t>
      </w:r>
      <w:r>
        <w:t xml:space="preserve">species </w:t>
      </w:r>
      <w:r w:rsidRPr="002649A0">
        <w:t>recovery</w:t>
      </w:r>
      <w:r>
        <w:t xml:space="preserve"> or management</w:t>
      </w:r>
      <w:r w:rsidRPr="002649A0">
        <w:t>.</w:t>
      </w:r>
      <w:r>
        <w:t xml:space="preserve"> This information will be determined at the time of the incident and will </w:t>
      </w:r>
      <w:r w:rsidR="006B05A3">
        <w:t xml:space="preserve">use </w:t>
      </w:r>
      <w:r>
        <w:t>currently available documents (e</w:t>
      </w:r>
      <w:r w:rsidRPr="00AF00AF">
        <w:t>g</w:t>
      </w:r>
      <w:r w:rsidR="006B05A3" w:rsidRPr="00AF00AF">
        <w:t> </w:t>
      </w:r>
      <w:r w:rsidRPr="00B56CD9">
        <w:rPr>
          <w:i/>
        </w:rPr>
        <w:t xml:space="preserve">White-nose </w:t>
      </w:r>
      <w:r w:rsidR="00B56CD9" w:rsidRPr="00B56CD9">
        <w:rPr>
          <w:i/>
        </w:rPr>
        <w:t>syndrome response guidelin</w:t>
      </w:r>
      <w:r w:rsidRPr="00B56CD9">
        <w:rPr>
          <w:i/>
        </w:rPr>
        <w:t>es</w:t>
      </w:r>
      <w:r w:rsidR="00AF00AF">
        <w:rPr>
          <w:rStyle w:val="FootnoteReference"/>
        </w:rPr>
        <w:footnoteReference w:id="2"/>
      </w:r>
      <w:r w:rsidRPr="00AF00AF">
        <w:t xml:space="preserve"> and</w:t>
      </w:r>
      <w:r>
        <w:t xml:space="preserve"> local plans), or future technical response plans specifically developed for Australian wildlife diseases.</w:t>
      </w:r>
    </w:p>
    <w:bookmarkEnd w:id="8"/>
    <w:bookmarkEnd w:id="9"/>
    <w:p w14:paraId="0D82ED62" w14:textId="6DAE48F6" w:rsidR="001C0BFD" w:rsidRDefault="001C0BFD" w:rsidP="00766FF7">
      <w:r>
        <w:t xml:space="preserve">The </w:t>
      </w:r>
      <w:r w:rsidR="006B05A3">
        <w:t>g</w:t>
      </w:r>
      <w:r>
        <w:t xml:space="preserve">uidelines </w:t>
      </w:r>
      <w:r w:rsidRPr="002649A0">
        <w:t xml:space="preserve">are intended for </w:t>
      </w:r>
      <w:r w:rsidR="000A4730">
        <w:t xml:space="preserve">use by state and territory </w:t>
      </w:r>
      <w:r w:rsidR="006B05A3">
        <w:t xml:space="preserve">managers responsible for </w:t>
      </w:r>
      <w:r w:rsidR="000A4730">
        <w:t xml:space="preserve">coordination and control </w:t>
      </w:r>
      <w:r w:rsidRPr="002649A0">
        <w:t>who are likely to</w:t>
      </w:r>
      <w:r>
        <w:t xml:space="preserve"> </w:t>
      </w:r>
      <w:r w:rsidR="00C6584F">
        <w:t>be</w:t>
      </w:r>
      <w:r w:rsidR="006B05A3">
        <w:t>,</w:t>
      </w:r>
      <w:r w:rsidR="00C6584F">
        <w:t xml:space="preserve"> or</w:t>
      </w:r>
      <w:r w:rsidRPr="002649A0">
        <w:t xml:space="preserve"> are</w:t>
      </w:r>
      <w:r w:rsidR="006B05A3">
        <w:t>,</w:t>
      </w:r>
      <w:r w:rsidRPr="002649A0">
        <w:t xml:space="preserve"> involved in an EWD response.</w:t>
      </w:r>
      <w:r w:rsidR="00737A60">
        <w:t xml:space="preserve"> They</w:t>
      </w:r>
      <w:r w:rsidRPr="00FC6630">
        <w:t xml:space="preserve"> are intended for use by those with suitable training and qualificati</w:t>
      </w:r>
      <w:r w:rsidR="00EB3479" w:rsidRPr="00FC6630">
        <w:t>ons</w:t>
      </w:r>
      <w:r w:rsidR="006B05A3">
        <w:t>,</w:t>
      </w:r>
      <w:r w:rsidR="00EB3479" w:rsidRPr="00FC6630">
        <w:t xml:space="preserve"> such as </w:t>
      </w:r>
      <w:r w:rsidR="006B05A3">
        <w:t xml:space="preserve">the training and qualifications required </w:t>
      </w:r>
      <w:r w:rsidR="00EB3479" w:rsidRPr="00FC6630">
        <w:t xml:space="preserve">for </w:t>
      </w:r>
      <w:r w:rsidRPr="00FC6630">
        <w:t>management of biosecurity and natural disaster emergencies</w:t>
      </w:r>
      <w:r w:rsidR="006F520E">
        <w:t xml:space="preserve"> (eg national public s</w:t>
      </w:r>
      <w:r w:rsidR="006F520E" w:rsidRPr="002649A0">
        <w:t>afety qualifications</w:t>
      </w:r>
      <w:r w:rsidR="006F520E">
        <w:t>)</w:t>
      </w:r>
      <w:r w:rsidRPr="00067884">
        <w:t xml:space="preserve">. </w:t>
      </w:r>
      <w:r w:rsidR="006F520E" w:rsidRPr="00FC6630">
        <w:t xml:space="preserve">The </w:t>
      </w:r>
      <w:r w:rsidR="006F520E">
        <w:t>g</w:t>
      </w:r>
      <w:r w:rsidR="006F520E" w:rsidRPr="00FC6630">
        <w:t xml:space="preserve">uidelines are not a substitute for </w:t>
      </w:r>
      <w:r w:rsidR="006F520E">
        <w:t xml:space="preserve">such </w:t>
      </w:r>
      <w:r w:rsidR="006F520E" w:rsidRPr="00FC6630">
        <w:t>training or qualifications.</w:t>
      </w:r>
      <w:r w:rsidR="006F520E">
        <w:t xml:space="preserve"> People</w:t>
      </w:r>
      <w:r w:rsidRPr="002649A0">
        <w:t xml:space="preserve"> with different emergency management backgrounds and experiences involved in </w:t>
      </w:r>
      <w:r w:rsidR="00A475A1">
        <w:t>an</w:t>
      </w:r>
      <w:r>
        <w:t xml:space="preserve"> </w:t>
      </w:r>
      <w:r w:rsidRPr="002649A0">
        <w:t>EWD response are likely to come from a number of state</w:t>
      </w:r>
      <w:r>
        <w:t xml:space="preserve"> and </w:t>
      </w:r>
      <w:r w:rsidRPr="002649A0">
        <w:t xml:space="preserve">territory </w:t>
      </w:r>
      <w:r>
        <w:t>agencies</w:t>
      </w:r>
      <w:r w:rsidR="007A3C03">
        <w:t xml:space="preserve">, and </w:t>
      </w:r>
      <w:r w:rsidRPr="002649A0">
        <w:t xml:space="preserve">the Australian </w:t>
      </w:r>
      <w:r>
        <w:t>G</w:t>
      </w:r>
      <w:r w:rsidRPr="002649A0">
        <w:t xml:space="preserve">overnment. </w:t>
      </w:r>
    </w:p>
    <w:p w14:paraId="534672A1" w14:textId="77D00196" w:rsidR="009B663A" w:rsidRPr="00FC6630" w:rsidRDefault="009B663A" w:rsidP="00766FF7"/>
    <w:p w14:paraId="0AB3F0FC" w14:textId="2B1C83D3" w:rsidR="00C0766E" w:rsidRDefault="00C0766E" w:rsidP="001C0BFD">
      <w:pPr>
        <w:jc w:val="both"/>
      </w:pPr>
    </w:p>
    <w:p w14:paraId="3D36F4F2" w14:textId="5231F8E8" w:rsidR="00A55159" w:rsidRPr="00C70130" w:rsidRDefault="00A55159" w:rsidP="00A55159">
      <w:pPr>
        <w:pStyle w:val="Heading1"/>
      </w:pPr>
      <w:bookmarkStart w:id="10" w:name="_Part_A:_Pre-Incident"/>
      <w:bookmarkStart w:id="11" w:name="_Toc529783746"/>
      <w:bookmarkStart w:id="12" w:name="_Hlk508712244"/>
      <w:bookmarkStart w:id="13" w:name="OLE_LINK3"/>
      <w:bookmarkEnd w:id="2"/>
      <w:bookmarkEnd w:id="10"/>
      <w:r>
        <w:lastRenderedPageBreak/>
        <w:t>2</w:t>
      </w:r>
      <w:r>
        <w:tab/>
      </w:r>
      <w:r w:rsidR="0098081B">
        <w:t>Legislation</w:t>
      </w:r>
      <w:r w:rsidR="00BF47A5">
        <w:t xml:space="preserve">, agreements and plans relevant to </w:t>
      </w:r>
      <w:r w:rsidR="006A12B2">
        <w:t xml:space="preserve">management of </w:t>
      </w:r>
      <w:r>
        <w:t xml:space="preserve">an </w:t>
      </w:r>
      <w:r w:rsidR="006F520E">
        <w:t>emergency wildlife disease response</w:t>
      </w:r>
      <w:bookmarkEnd w:id="11"/>
    </w:p>
    <w:p w14:paraId="1889EDB1" w14:textId="28C91226" w:rsidR="006650D0" w:rsidRPr="00C70130" w:rsidRDefault="00CF2684" w:rsidP="005228D1">
      <w:pPr>
        <w:pStyle w:val="Heading2"/>
      </w:pPr>
      <w:bookmarkStart w:id="14" w:name="_Toc529783747"/>
      <w:bookmarkEnd w:id="12"/>
      <w:bookmarkEnd w:id="13"/>
      <w:r>
        <w:t>2.1</w:t>
      </w:r>
      <w:r w:rsidR="00CD5AEF">
        <w:tab/>
      </w:r>
      <w:r w:rsidR="006650D0" w:rsidRPr="00C70130">
        <w:t>Legislation</w:t>
      </w:r>
      <w:bookmarkEnd w:id="14"/>
    </w:p>
    <w:p w14:paraId="7768404C" w14:textId="1E129127" w:rsidR="009A7399" w:rsidRDefault="00CE169E" w:rsidP="00766FF7">
      <w:r w:rsidRPr="00CE169E">
        <w:t xml:space="preserve">A response to an </w:t>
      </w:r>
      <w:r w:rsidR="006F520E">
        <w:t>emergency wildlife disease</w:t>
      </w:r>
      <w:r w:rsidR="006F520E" w:rsidRPr="00CE169E">
        <w:t xml:space="preserve"> </w:t>
      </w:r>
      <w:r w:rsidR="006F520E">
        <w:t>(</w:t>
      </w:r>
      <w:r w:rsidRPr="00CE169E">
        <w:t>EWD</w:t>
      </w:r>
      <w:r w:rsidR="006F520E">
        <w:t>)</w:t>
      </w:r>
      <w:r w:rsidRPr="00CE169E">
        <w:t xml:space="preserve"> will need to operate in accordance with</w:t>
      </w:r>
      <w:r w:rsidR="006F520E">
        <w:t>,</w:t>
      </w:r>
      <w:r w:rsidRPr="00CE169E">
        <w:t xml:space="preserve"> and use the authority of</w:t>
      </w:r>
      <w:r w:rsidR="006F520E">
        <w:t>,</w:t>
      </w:r>
      <w:r w:rsidRPr="00CE169E">
        <w:t xml:space="preserve"> an array of legislation. The legislation provides the a</w:t>
      </w:r>
      <w:r w:rsidR="009A7399" w:rsidRPr="00CE169E">
        <w:t>uthority to act and undertake tasks</w:t>
      </w:r>
      <w:r w:rsidR="006F520E">
        <w:t>,</w:t>
      </w:r>
      <w:r w:rsidR="009A7399" w:rsidRPr="00CE169E">
        <w:t xml:space="preserve"> </w:t>
      </w:r>
      <w:r w:rsidRPr="00CE169E">
        <w:t>whil</w:t>
      </w:r>
      <w:r w:rsidR="006F520E">
        <w:t>e</w:t>
      </w:r>
      <w:r w:rsidRPr="00CE169E">
        <w:t xml:space="preserve"> providing </w:t>
      </w:r>
      <w:r w:rsidR="009A7399" w:rsidRPr="00CE169E">
        <w:t xml:space="preserve">protection </w:t>
      </w:r>
      <w:r w:rsidR="000D3E02" w:rsidRPr="00CE169E">
        <w:t>for</w:t>
      </w:r>
      <w:r w:rsidR="009A7399" w:rsidRPr="00CE169E">
        <w:t xml:space="preserve"> </w:t>
      </w:r>
      <w:r w:rsidR="005C00F7">
        <w:t xml:space="preserve">the </w:t>
      </w:r>
      <w:r w:rsidR="009A7399" w:rsidRPr="00CE169E">
        <w:t>individual</w:t>
      </w:r>
      <w:r w:rsidRPr="00CE169E">
        <w:t xml:space="preserve"> and </w:t>
      </w:r>
      <w:r w:rsidR="009A7399" w:rsidRPr="00CE169E">
        <w:t>agency</w:t>
      </w:r>
      <w:r w:rsidRPr="00CE169E">
        <w:t>.</w:t>
      </w:r>
      <w:r w:rsidR="001B3A26" w:rsidRPr="00CE169E">
        <w:t xml:space="preserve"> </w:t>
      </w:r>
      <w:r w:rsidRPr="00CE169E">
        <w:t xml:space="preserve">Response managers will need to look for </w:t>
      </w:r>
      <w:r w:rsidR="006F520E">
        <w:t xml:space="preserve">any </w:t>
      </w:r>
      <w:r w:rsidR="001B3A26" w:rsidRPr="00CE169E">
        <w:t xml:space="preserve">potential conflict between </w:t>
      </w:r>
      <w:r w:rsidRPr="00CE169E">
        <w:t>legislati</w:t>
      </w:r>
      <w:r w:rsidR="00AF31DA">
        <w:t>ve</w:t>
      </w:r>
      <w:r w:rsidRPr="00CE169E">
        <w:t xml:space="preserve"> requirements </w:t>
      </w:r>
      <w:r w:rsidR="00AF31DA">
        <w:t xml:space="preserve">to ensure that </w:t>
      </w:r>
      <w:r w:rsidRPr="00CE169E">
        <w:t>tasks</w:t>
      </w:r>
      <w:r w:rsidR="00AF31DA">
        <w:t xml:space="preserve"> and</w:t>
      </w:r>
      <w:r w:rsidRPr="00CE169E">
        <w:t xml:space="preserve"> tactics </w:t>
      </w:r>
      <w:r w:rsidR="00AF31DA">
        <w:t xml:space="preserve">used </w:t>
      </w:r>
      <w:r w:rsidRPr="00CE169E">
        <w:t>are legal.</w:t>
      </w:r>
    </w:p>
    <w:p w14:paraId="3D45E5A2" w14:textId="42DB88A4" w:rsidR="00CE169E" w:rsidRPr="00CE169E" w:rsidRDefault="00AF31DA" w:rsidP="00766FF7">
      <w:r>
        <w:t>This section summarises l</w:t>
      </w:r>
      <w:r w:rsidR="003931B5">
        <w:t xml:space="preserve">egislation that will need </w:t>
      </w:r>
      <w:r>
        <w:t xml:space="preserve">to be </w:t>
      </w:r>
      <w:r w:rsidR="003931B5">
        <w:t>consider</w:t>
      </w:r>
      <w:r>
        <w:t>ed</w:t>
      </w:r>
      <w:r w:rsidR="003931B5">
        <w:t xml:space="preserve"> by response managers. The legislation referenced here is </w:t>
      </w:r>
      <w:r w:rsidR="00D47A29">
        <w:t>not</w:t>
      </w:r>
      <w:r w:rsidR="003931B5">
        <w:t xml:space="preserve"> a full list of the relevant legislation</w:t>
      </w:r>
      <w:r>
        <w:t xml:space="preserve"> – f</w:t>
      </w:r>
      <w:r w:rsidR="006C05A7">
        <w:t xml:space="preserve">or </w:t>
      </w:r>
      <w:r w:rsidR="00FC0A4F">
        <w:t>example,</w:t>
      </w:r>
      <w:r w:rsidR="006C05A7">
        <w:t xml:space="preserve"> a</w:t>
      </w:r>
      <w:r w:rsidR="00EE0F5A">
        <w:t>ctivities such as waste</w:t>
      </w:r>
      <w:r w:rsidR="006C05A7">
        <w:t xml:space="preserve"> disposal will require consideration of </w:t>
      </w:r>
      <w:r>
        <w:t xml:space="preserve">other </w:t>
      </w:r>
      <w:r w:rsidR="006C05A7">
        <w:t xml:space="preserve">legislation. </w:t>
      </w:r>
      <w:r w:rsidR="005435B5">
        <w:t xml:space="preserve">Timely </w:t>
      </w:r>
      <w:r w:rsidR="003931B5">
        <w:t xml:space="preserve">legal advice must always be </w:t>
      </w:r>
      <w:r w:rsidR="00B55BC5">
        <w:t>sought during a response</w:t>
      </w:r>
      <w:r w:rsidR="005435B5">
        <w:t xml:space="preserve"> to </w:t>
      </w:r>
      <w:r w:rsidR="00BE44AF">
        <w:t xml:space="preserve">ensure </w:t>
      </w:r>
      <w:r w:rsidR="005435B5">
        <w:t xml:space="preserve">the legality of actions and to ensure </w:t>
      </w:r>
      <w:r>
        <w:t xml:space="preserve">that </w:t>
      </w:r>
      <w:r w:rsidR="005435B5">
        <w:t>response activities are not delayed by legal issues</w:t>
      </w:r>
      <w:r w:rsidR="00B55BC5">
        <w:t>.</w:t>
      </w:r>
    </w:p>
    <w:p w14:paraId="7E704BE1" w14:textId="55965CE0" w:rsidR="00105107" w:rsidRPr="009A7399" w:rsidRDefault="00CD5AEF" w:rsidP="005228D1">
      <w:pPr>
        <w:pStyle w:val="Heading3"/>
      </w:pPr>
      <w:bookmarkStart w:id="15" w:name="_Toc529783748"/>
      <w:r>
        <w:t>2.</w:t>
      </w:r>
      <w:r w:rsidR="00A66BEF">
        <w:t>1</w:t>
      </w:r>
      <w:r>
        <w:t>.1</w:t>
      </w:r>
      <w:r>
        <w:tab/>
      </w:r>
      <w:r w:rsidR="00105107" w:rsidRPr="009A7399">
        <w:t>Biosecurity legislation</w:t>
      </w:r>
      <w:bookmarkEnd w:id="15"/>
    </w:p>
    <w:p w14:paraId="351BF9DD" w14:textId="74274ABC" w:rsidR="00944A6C" w:rsidRPr="00EE462D" w:rsidRDefault="00550533" w:rsidP="00766FF7">
      <w:r>
        <w:t>S</w:t>
      </w:r>
      <w:r w:rsidR="0041367E" w:rsidRPr="00EE462D">
        <w:t>tate</w:t>
      </w:r>
      <w:r>
        <w:t>s</w:t>
      </w:r>
      <w:r w:rsidR="0041367E" w:rsidRPr="00EE462D">
        <w:t xml:space="preserve"> and territor</w:t>
      </w:r>
      <w:r>
        <w:t>ies</w:t>
      </w:r>
      <w:r w:rsidR="0041367E" w:rsidRPr="00EE462D">
        <w:t xml:space="preserve"> ha</w:t>
      </w:r>
      <w:r>
        <w:t>ve</w:t>
      </w:r>
      <w:r w:rsidR="0041367E" w:rsidRPr="00EE462D">
        <w:t xml:space="preserve"> operational responsibility for the control and eradication of diseases in animals</w:t>
      </w:r>
      <w:r w:rsidR="00AF31DA">
        <w:t>,</w:t>
      </w:r>
      <w:r w:rsidR="0041367E" w:rsidRPr="00EE462D">
        <w:t xml:space="preserve"> including </w:t>
      </w:r>
      <w:r w:rsidR="000732D3">
        <w:t xml:space="preserve">native </w:t>
      </w:r>
      <w:r w:rsidR="0041367E" w:rsidRPr="00EE462D">
        <w:t>wildlife</w:t>
      </w:r>
      <w:r w:rsidR="00AF31DA">
        <w:t>,</w:t>
      </w:r>
      <w:r w:rsidR="0041367E" w:rsidRPr="00EE462D">
        <w:t xml:space="preserve"> within their borders. </w:t>
      </w:r>
      <w:r>
        <w:t>S</w:t>
      </w:r>
      <w:r w:rsidR="0041367E" w:rsidRPr="00EE462D">
        <w:t>tate</w:t>
      </w:r>
      <w:r w:rsidR="00BE44AF">
        <w:t>s</w:t>
      </w:r>
      <w:r w:rsidR="0041367E" w:rsidRPr="00EE462D">
        <w:t xml:space="preserve"> and territor</w:t>
      </w:r>
      <w:r>
        <w:t>ies</w:t>
      </w:r>
      <w:r w:rsidR="0041367E" w:rsidRPr="00EE462D">
        <w:t xml:space="preserve"> administer </w:t>
      </w:r>
      <w:r>
        <w:t>their</w:t>
      </w:r>
      <w:r w:rsidR="0041367E" w:rsidRPr="00EE462D">
        <w:t xml:space="preserve"> legislation that is </w:t>
      </w:r>
      <w:r w:rsidR="00AF31DA">
        <w:t xml:space="preserve">relevant to </w:t>
      </w:r>
      <w:r w:rsidR="0041367E" w:rsidRPr="00EE462D">
        <w:t>the control and management of emergency diseases. This legislation provides the powers</w:t>
      </w:r>
      <w:r w:rsidR="00D17A2E">
        <w:t xml:space="preserve"> and authority </w:t>
      </w:r>
      <w:r w:rsidR="0041367E" w:rsidRPr="00EE462D">
        <w:t>necessary for control measures and tactics.</w:t>
      </w:r>
    </w:p>
    <w:p w14:paraId="6DA83E92" w14:textId="2376F534" w:rsidR="0041367E" w:rsidRPr="00EE462D" w:rsidRDefault="00224159" w:rsidP="00766FF7">
      <w:r>
        <w:t>M</w:t>
      </w:r>
      <w:r w:rsidR="0041367E" w:rsidRPr="00EE462D">
        <w:t>ost states and territories have</w:t>
      </w:r>
      <w:r w:rsidR="00AF31DA">
        <w:t>,</w:t>
      </w:r>
      <w:r w:rsidR="00AB344D">
        <w:t xml:space="preserve"> </w:t>
      </w:r>
      <w:r w:rsidR="0041367E" w:rsidRPr="00EE462D">
        <w:t>or are moving to</w:t>
      </w:r>
      <w:r w:rsidR="00AF31DA">
        <w:t>,</w:t>
      </w:r>
      <w:r w:rsidR="0041367E" w:rsidRPr="00EE462D">
        <w:t xml:space="preserve"> a single </w:t>
      </w:r>
      <w:r w:rsidR="00AF31DA">
        <w:t>b</w:t>
      </w:r>
      <w:r w:rsidR="0041367E" w:rsidRPr="00EE462D">
        <w:t xml:space="preserve">iosecurity </w:t>
      </w:r>
      <w:r w:rsidR="008279CF">
        <w:t>Act</w:t>
      </w:r>
      <w:r w:rsidR="0041367E" w:rsidRPr="00EE462D">
        <w:t xml:space="preserve"> that replaces separate legislation for diseases of l</w:t>
      </w:r>
      <w:r w:rsidR="005C00F7">
        <w:t>ivestock and animals, and plant</w:t>
      </w:r>
      <w:r w:rsidR="0041367E" w:rsidRPr="00EE462D">
        <w:t xml:space="preserve"> pest</w:t>
      </w:r>
      <w:r w:rsidR="00AB344D">
        <w:t>s</w:t>
      </w:r>
      <w:r w:rsidR="0041367E" w:rsidRPr="00EE462D">
        <w:t xml:space="preserve">. The biosecurity legislation has </w:t>
      </w:r>
      <w:r w:rsidR="00116DA6" w:rsidRPr="00EE462D">
        <w:t xml:space="preserve">been developed to </w:t>
      </w:r>
      <w:r w:rsidR="00AF31DA">
        <w:t>apply to</w:t>
      </w:r>
      <w:r w:rsidR="00116DA6" w:rsidRPr="00EE462D">
        <w:t xml:space="preserve"> pests and diseases of terrestrial</w:t>
      </w:r>
      <w:r w:rsidR="000D3E02" w:rsidRPr="00EE462D">
        <w:t>,</w:t>
      </w:r>
      <w:r w:rsidR="00116DA6" w:rsidRPr="00EE462D">
        <w:t xml:space="preserve"> marine</w:t>
      </w:r>
      <w:r w:rsidR="000D3E02" w:rsidRPr="00EE462D">
        <w:t xml:space="preserve"> and aquatic</w:t>
      </w:r>
      <w:r w:rsidR="00116DA6" w:rsidRPr="00EE462D">
        <w:t xml:space="preserve"> wildlife.</w:t>
      </w:r>
    </w:p>
    <w:p w14:paraId="343D5053" w14:textId="4C315A23" w:rsidR="00105107" w:rsidRPr="00AB344D" w:rsidRDefault="00AF31DA" w:rsidP="00766FF7">
      <w:r>
        <w:t xml:space="preserve">State and territory </w:t>
      </w:r>
      <w:r w:rsidRPr="00EE462D">
        <w:t>primary industries</w:t>
      </w:r>
      <w:r>
        <w:t xml:space="preserve"> or agriculture agencies have </w:t>
      </w:r>
      <w:r w:rsidR="00AB344D">
        <w:t xml:space="preserve">primary </w:t>
      </w:r>
      <w:r w:rsidR="00105107" w:rsidRPr="00EE462D">
        <w:t>responsibility for biosecurity legislation.</w:t>
      </w:r>
      <w:r w:rsidR="00181280" w:rsidRPr="00EE462D">
        <w:t xml:space="preserve"> </w:t>
      </w:r>
      <w:r w:rsidR="00304082" w:rsidRPr="00EE462D">
        <w:t>The</w:t>
      </w:r>
      <w:r w:rsidR="00376D73">
        <w:t xml:space="preserve"> </w:t>
      </w:r>
      <w:r w:rsidR="00304082" w:rsidRPr="00EE462D">
        <w:t xml:space="preserve">responsible </w:t>
      </w:r>
      <w:r w:rsidR="00376D73">
        <w:t xml:space="preserve">agency </w:t>
      </w:r>
      <w:r w:rsidR="00304082" w:rsidRPr="00EE462D">
        <w:t xml:space="preserve">for the biosecurity legislation has the authority to appoint </w:t>
      </w:r>
      <w:r w:rsidR="00C109AC">
        <w:t xml:space="preserve">personnel </w:t>
      </w:r>
      <w:r w:rsidR="00BD2620">
        <w:t xml:space="preserve">from </w:t>
      </w:r>
      <w:r w:rsidR="00304082" w:rsidRPr="00EE462D">
        <w:t>other agencies</w:t>
      </w:r>
      <w:r>
        <w:t>,</w:t>
      </w:r>
      <w:r w:rsidR="00304082" w:rsidRPr="00EE462D">
        <w:t xml:space="preserve"> such as </w:t>
      </w:r>
      <w:r w:rsidR="00304082" w:rsidRPr="00AB344D">
        <w:t>environment agencies</w:t>
      </w:r>
      <w:r w:rsidR="00BD2620" w:rsidRPr="00AB344D">
        <w:t xml:space="preserve"> and local government</w:t>
      </w:r>
      <w:r>
        <w:t xml:space="preserve"> agencies,</w:t>
      </w:r>
      <w:r w:rsidR="00BD2620" w:rsidRPr="00AB344D">
        <w:t xml:space="preserve"> as authorised officers. </w:t>
      </w:r>
    </w:p>
    <w:p w14:paraId="1908E982" w14:textId="5C9800BB" w:rsidR="00AE732C" w:rsidRPr="00F33762" w:rsidRDefault="00AE732C" w:rsidP="00766FF7">
      <w:r w:rsidRPr="00F33762">
        <w:t xml:space="preserve">The biosecurity legislation </w:t>
      </w:r>
      <w:r w:rsidR="00F33762" w:rsidRPr="00F33762">
        <w:t>will</w:t>
      </w:r>
      <w:r w:rsidRPr="00F33762">
        <w:t xml:space="preserve"> need policy contextu</w:t>
      </w:r>
      <w:r w:rsidR="005C00F7">
        <w:t>a</w:t>
      </w:r>
      <w:r w:rsidRPr="00F33762">
        <w:t xml:space="preserve">lised to the response to ensure </w:t>
      </w:r>
      <w:r w:rsidR="00AF31DA">
        <w:t xml:space="preserve">that </w:t>
      </w:r>
      <w:r w:rsidRPr="00F33762">
        <w:t>the intention of the legislation is fully applica</w:t>
      </w:r>
      <w:r w:rsidR="00F33762" w:rsidRPr="00F33762">
        <w:t>ble</w:t>
      </w:r>
      <w:r w:rsidRPr="00F33762">
        <w:t xml:space="preserve">. For </w:t>
      </w:r>
      <w:r w:rsidR="008279CF" w:rsidRPr="00F33762">
        <w:t>example,</w:t>
      </w:r>
      <w:r w:rsidRPr="00F33762">
        <w:t xml:space="preserve"> a case definition</w:t>
      </w:r>
      <w:r w:rsidR="009D5F74">
        <w:t>,</w:t>
      </w:r>
      <w:r w:rsidRPr="00F33762">
        <w:t xml:space="preserve"> </w:t>
      </w:r>
      <w:r w:rsidR="00C109AC">
        <w:t>legal instrument</w:t>
      </w:r>
      <w:r w:rsidR="009D5F74">
        <w:t>,</w:t>
      </w:r>
      <w:r w:rsidR="00C109AC">
        <w:t xml:space="preserve"> or </w:t>
      </w:r>
      <w:r w:rsidRPr="00F33762">
        <w:t xml:space="preserve">movement control </w:t>
      </w:r>
      <w:r w:rsidR="00C109AC">
        <w:t>schedule or policy</w:t>
      </w:r>
      <w:r w:rsidR="009D5F74">
        <w:t>,</w:t>
      </w:r>
      <w:r w:rsidR="00C109AC">
        <w:t xml:space="preserve"> </w:t>
      </w:r>
      <w:r w:rsidRPr="00F33762">
        <w:t xml:space="preserve">such as that for a </w:t>
      </w:r>
      <w:r w:rsidR="00AF31DA">
        <w:t>c</w:t>
      </w:r>
      <w:r w:rsidRPr="00F33762">
        <w:t xml:space="preserve">ontrol </w:t>
      </w:r>
      <w:r w:rsidR="00AF31DA">
        <w:t>a</w:t>
      </w:r>
      <w:r w:rsidRPr="00F33762">
        <w:t>rea</w:t>
      </w:r>
      <w:r w:rsidR="00DB712A">
        <w:t xml:space="preserve"> (CA)</w:t>
      </w:r>
      <w:r w:rsidRPr="00F33762">
        <w:t xml:space="preserve"> or </w:t>
      </w:r>
      <w:r w:rsidR="00AF31DA">
        <w:t>r</w:t>
      </w:r>
      <w:r w:rsidRPr="00F33762">
        <w:t xml:space="preserve">estricted </w:t>
      </w:r>
      <w:r w:rsidR="00AF31DA">
        <w:t>a</w:t>
      </w:r>
      <w:r w:rsidRPr="00F33762">
        <w:t xml:space="preserve">rea </w:t>
      </w:r>
      <w:r w:rsidR="00DB712A">
        <w:t>(RA)</w:t>
      </w:r>
      <w:r w:rsidR="009D5F74">
        <w:t>,</w:t>
      </w:r>
      <w:r w:rsidR="00DB712A">
        <w:t xml:space="preserve"> </w:t>
      </w:r>
      <w:r w:rsidRPr="00F33762">
        <w:t>may be needed</w:t>
      </w:r>
      <w:r w:rsidR="007369EE">
        <w:t xml:space="preserve"> to contextu</w:t>
      </w:r>
      <w:r w:rsidR="005C00F7">
        <w:t>alise</w:t>
      </w:r>
      <w:r w:rsidR="007369EE">
        <w:t xml:space="preserve"> the legislation to the response</w:t>
      </w:r>
      <w:r w:rsidRPr="00F33762">
        <w:t>.</w:t>
      </w:r>
    </w:p>
    <w:p w14:paraId="2AA32B82" w14:textId="79B837DA" w:rsidR="00116DA6" w:rsidRDefault="00116DA6" w:rsidP="00766FF7">
      <w:r w:rsidRPr="00EE462D">
        <w:t xml:space="preserve">The Australian Government has relevant powers for </w:t>
      </w:r>
      <w:r w:rsidR="005C00F7">
        <w:t xml:space="preserve">the </w:t>
      </w:r>
      <w:r w:rsidRPr="00EE462D">
        <w:t xml:space="preserve">control and management of diseases of animals under the </w:t>
      </w:r>
      <w:r w:rsidRPr="009D5F74">
        <w:rPr>
          <w:i/>
        </w:rPr>
        <w:t xml:space="preserve">Biosecurity Act </w:t>
      </w:r>
      <w:r w:rsidR="00BD2620" w:rsidRPr="009D5F74">
        <w:rPr>
          <w:i/>
        </w:rPr>
        <w:t>2015</w:t>
      </w:r>
      <w:r w:rsidR="009D5F74">
        <w:t xml:space="preserve">. This Act enables the Australian Government </w:t>
      </w:r>
      <w:r w:rsidRPr="00EE462D">
        <w:t>to support states and territories</w:t>
      </w:r>
      <w:r w:rsidR="009D5F74">
        <w:t>,</w:t>
      </w:r>
      <w:r w:rsidRPr="00EE462D">
        <w:t xml:space="preserve"> where necessary</w:t>
      </w:r>
      <w:r w:rsidR="00F33762">
        <w:t>, and</w:t>
      </w:r>
      <w:r w:rsidR="00B41D73">
        <w:t xml:space="preserve"> </w:t>
      </w:r>
      <w:r w:rsidR="009D5F74">
        <w:t xml:space="preserve">to control and manage diseases </w:t>
      </w:r>
      <w:r w:rsidR="00F33762">
        <w:t xml:space="preserve">on land managed by the </w:t>
      </w:r>
      <w:r w:rsidR="009D5F74">
        <w:t>Australian Government</w:t>
      </w:r>
      <w:r w:rsidR="00497675">
        <w:t>.</w:t>
      </w:r>
    </w:p>
    <w:p w14:paraId="57FBCF6D" w14:textId="3CCB4F27" w:rsidR="007F4544" w:rsidRPr="00EE462D" w:rsidRDefault="005B4517" w:rsidP="00766FF7">
      <w:r>
        <w:t>Control and management activities on s</w:t>
      </w:r>
      <w:r w:rsidR="004C6DC3">
        <w:t>ome land tenures</w:t>
      </w:r>
      <w:r>
        <w:t>,</w:t>
      </w:r>
      <w:r w:rsidR="004C6DC3">
        <w:t xml:space="preserve"> such as for the Australian Defence Force and </w:t>
      </w:r>
      <w:r>
        <w:t>I</w:t>
      </w:r>
      <w:r w:rsidR="004C6DC3">
        <w:t>ndigenous groups</w:t>
      </w:r>
      <w:r>
        <w:t>,</w:t>
      </w:r>
      <w:r w:rsidR="004C6DC3">
        <w:t xml:space="preserve"> may </w:t>
      </w:r>
      <w:r>
        <w:t xml:space="preserve">have </w:t>
      </w:r>
      <w:r w:rsidR="004C6DC3">
        <w:t>requirements beyond those covered by biosecurity legislation.</w:t>
      </w:r>
    </w:p>
    <w:p w14:paraId="5F0B96B4" w14:textId="1C995404" w:rsidR="005B4517" w:rsidRDefault="002C1290" w:rsidP="00766FF7">
      <w:pPr>
        <w:rPr>
          <w:bCs/>
        </w:rPr>
      </w:pPr>
      <w:r>
        <w:lastRenderedPageBreak/>
        <w:t>Some of the new state</w:t>
      </w:r>
      <w:r w:rsidR="00D55AAF">
        <w:t xml:space="preserve"> </w:t>
      </w:r>
      <w:r w:rsidR="005B4517">
        <w:t xml:space="preserve">and territory </w:t>
      </w:r>
      <w:r w:rsidR="00182C65" w:rsidRPr="00D103D7">
        <w:t xml:space="preserve">biosecurity legislation </w:t>
      </w:r>
      <w:r w:rsidR="00D55AAF">
        <w:t>includes the</w:t>
      </w:r>
      <w:r w:rsidR="00182C65" w:rsidRPr="00D103D7">
        <w:t xml:space="preserve"> concept of </w:t>
      </w:r>
      <w:r w:rsidR="005B4517">
        <w:t>‘</w:t>
      </w:r>
      <w:r w:rsidR="00182C65" w:rsidRPr="00D103D7">
        <w:t>shared responsibility</w:t>
      </w:r>
      <w:r w:rsidR="00182C65">
        <w:t>’</w:t>
      </w:r>
      <w:r w:rsidR="005B4517">
        <w:t>, which</w:t>
      </w:r>
      <w:r w:rsidR="00D55AAF">
        <w:t xml:space="preserve"> is </w:t>
      </w:r>
      <w:r w:rsidR="00182C65" w:rsidRPr="00D103D7">
        <w:t xml:space="preserve">reflected </w:t>
      </w:r>
      <w:r w:rsidR="005B4517">
        <w:t>in</w:t>
      </w:r>
      <w:r>
        <w:t xml:space="preserve"> </w:t>
      </w:r>
      <w:r w:rsidR="00182C65" w:rsidRPr="00D103D7">
        <w:t>general biosecurity obligation</w:t>
      </w:r>
      <w:r w:rsidR="000E2485">
        <w:t>s</w:t>
      </w:r>
      <w:r w:rsidR="00182C65" w:rsidRPr="00D103D7">
        <w:t xml:space="preserve"> </w:t>
      </w:r>
      <w:r>
        <w:t>or</w:t>
      </w:r>
      <w:r w:rsidR="00182C65" w:rsidRPr="00D103D7">
        <w:t xml:space="preserve"> duties. These obligations</w:t>
      </w:r>
      <w:r w:rsidR="00D55AAF">
        <w:t xml:space="preserve"> and </w:t>
      </w:r>
      <w:r w:rsidR="00182C65" w:rsidRPr="00D103D7">
        <w:t xml:space="preserve">duties </w:t>
      </w:r>
      <w:r w:rsidR="005B4517">
        <w:t xml:space="preserve">mean that </w:t>
      </w:r>
      <w:r w:rsidR="00182C65" w:rsidRPr="00FC6630">
        <w:rPr>
          <w:bCs/>
        </w:rPr>
        <w:t xml:space="preserve">individuals </w:t>
      </w:r>
      <w:r w:rsidR="005B4517">
        <w:rPr>
          <w:bCs/>
        </w:rPr>
        <w:t xml:space="preserve">are required </w:t>
      </w:r>
      <w:r w:rsidR="00182C65" w:rsidRPr="00FC6630">
        <w:rPr>
          <w:bCs/>
        </w:rPr>
        <w:t>to take responsibility for biosecurity</w:t>
      </w:r>
      <w:r w:rsidR="00D55AAF" w:rsidRPr="00FC6630">
        <w:rPr>
          <w:bCs/>
        </w:rPr>
        <w:t>.</w:t>
      </w:r>
      <w:r w:rsidR="00182C65" w:rsidRPr="00FC6630">
        <w:rPr>
          <w:bCs/>
        </w:rPr>
        <w:t xml:space="preserve"> </w:t>
      </w:r>
    </w:p>
    <w:p w14:paraId="211C3566" w14:textId="4138DE31" w:rsidR="003C453E" w:rsidRDefault="00D55AAF" w:rsidP="00766FF7">
      <w:pPr>
        <w:rPr>
          <w:szCs w:val="24"/>
        </w:rPr>
      </w:pPr>
      <w:r w:rsidRPr="00FC6630">
        <w:rPr>
          <w:bCs/>
        </w:rPr>
        <w:t>I</w:t>
      </w:r>
      <w:r w:rsidR="00182C65" w:rsidRPr="00FC6630">
        <w:rPr>
          <w:bCs/>
        </w:rPr>
        <w:t>t is important that</w:t>
      </w:r>
      <w:r w:rsidR="00182C65" w:rsidRPr="0085452B">
        <w:rPr>
          <w:b/>
        </w:rPr>
        <w:t xml:space="preserve"> </w:t>
      </w:r>
      <w:r w:rsidR="00182C65" w:rsidRPr="00FC6630">
        <w:rPr>
          <w:bCs/>
        </w:rPr>
        <w:t>veterinarians familiarise themselves with their local, state</w:t>
      </w:r>
      <w:r w:rsidRPr="00FC6630">
        <w:rPr>
          <w:bCs/>
        </w:rPr>
        <w:t xml:space="preserve"> and territory</w:t>
      </w:r>
      <w:r w:rsidR="00182C65" w:rsidRPr="00FC6630">
        <w:rPr>
          <w:bCs/>
        </w:rPr>
        <w:t xml:space="preserve"> biosecurity arrangements.</w:t>
      </w:r>
      <w:r w:rsidR="00182C65">
        <w:t xml:space="preserve"> Wildlife are included in these arrangements.</w:t>
      </w:r>
    </w:p>
    <w:p w14:paraId="52393F07" w14:textId="36BA3712" w:rsidR="00105107" w:rsidRPr="00105107" w:rsidRDefault="00CD5AEF" w:rsidP="005228D1">
      <w:pPr>
        <w:pStyle w:val="Heading3"/>
      </w:pPr>
      <w:bookmarkStart w:id="16" w:name="_Toc529783749"/>
      <w:r>
        <w:t>2.</w:t>
      </w:r>
      <w:r w:rsidR="00A66BEF">
        <w:t>1</w:t>
      </w:r>
      <w:r>
        <w:t>.2</w:t>
      </w:r>
      <w:r>
        <w:tab/>
      </w:r>
      <w:r w:rsidR="00105107" w:rsidRPr="00105107">
        <w:t>Emergency management legislation</w:t>
      </w:r>
      <w:bookmarkEnd w:id="16"/>
    </w:p>
    <w:p w14:paraId="6980DB1F" w14:textId="449D9B1F" w:rsidR="00FC6271" w:rsidRDefault="00116DA6" w:rsidP="00766FF7">
      <w:r w:rsidRPr="00EE462D">
        <w:t xml:space="preserve">Supporting the biosecurity legislation in </w:t>
      </w:r>
      <w:r w:rsidR="00376D73">
        <w:t>each</w:t>
      </w:r>
      <w:r w:rsidRPr="00EE462D">
        <w:t xml:space="preserve"> state and territor</w:t>
      </w:r>
      <w:r w:rsidR="00376D73">
        <w:t>y</w:t>
      </w:r>
      <w:r w:rsidRPr="00EE462D">
        <w:t xml:space="preserve"> is the emergency management legislation. </w:t>
      </w:r>
    </w:p>
    <w:p w14:paraId="2C2DFCB2" w14:textId="011FAAD5" w:rsidR="00FC6271" w:rsidRPr="00067884" w:rsidRDefault="00116DA6" w:rsidP="00766FF7">
      <w:r w:rsidRPr="00FC6630">
        <w:t>Thi</w:t>
      </w:r>
      <w:r w:rsidR="00376D73" w:rsidRPr="00FC6630">
        <w:t xml:space="preserve">s </w:t>
      </w:r>
      <w:r w:rsidRPr="00FC6630">
        <w:t xml:space="preserve">legislation aims to deliver a </w:t>
      </w:r>
      <w:r w:rsidR="005B4517">
        <w:t>w</w:t>
      </w:r>
      <w:r w:rsidRPr="00FC6630">
        <w:t>hole</w:t>
      </w:r>
      <w:r w:rsidR="005B4517">
        <w:t>-</w:t>
      </w:r>
      <w:r w:rsidRPr="00FC6630">
        <w:t>of</w:t>
      </w:r>
      <w:r w:rsidR="005B4517">
        <w:t>-g</w:t>
      </w:r>
      <w:r w:rsidRPr="00FC6630">
        <w:t>overnment approach on an all</w:t>
      </w:r>
      <w:r w:rsidR="005B4517">
        <w:t>-</w:t>
      </w:r>
      <w:r w:rsidRPr="00FC6630">
        <w:t>hazards basis</w:t>
      </w:r>
      <w:r w:rsidR="005B4517">
        <w:t>,</w:t>
      </w:r>
      <w:r w:rsidRPr="00FC6630">
        <w:t xml:space="preserve"> to ensure the </w:t>
      </w:r>
      <w:r w:rsidR="00376D73" w:rsidRPr="00FC6630">
        <w:t xml:space="preserve">effective </w:t>
      </w:r>
      <w:r w:rsidRPr="00FC6630">
        <w:t xml:space="preserve">coordination </w:t>
      </w:r>
      <w:r w:rsidR="00497675" w:rsidRPr="00FC6630">
        <w:t xml:space="preserve">of </w:t>
      </w:r>
      <w:r w:rsidRPr="00FC6630">
        <w:t>emergency management</w:t>
      </w:r>
      <w:r w:rsidRPr="00067884">
        <w:t xml:space="preserve">. </w:t>
      </w:r>
    </w:p>
    <w:p w14:paraId="7933D97D" w14:textId="36E95278" w:rsidR="00116DA6" w:rsidRPr="0085452B" w:rsidRDefault="00DF0781" w:rsidP="00766FF7">
      <w:r w:rsidRPr="00FC6630">
        <w:t>In each</w:t>
      </w:r>
      <w:r w:rsidR="005C00F7" w:rsidRPr="00FC6630">
        <w:t xml:space="preserve"> jurisdiction</w:t>
      </w:r>
      <w:r w:rsidR="005B4517">
        <w:t>,</w:t>
      </w:r>
      <w:r w:rsidR="005C00F7" w:rsidRPr="00FC6630">
        <w:t xml:space="preserve"> t</w:t>
      </w:r>
      <w:r w:rsidR="00116DA6" w:rsidRPr="00FC6630">
        <w:t>he arrangements that flow fr</w:t>
      </w:r>
      <w:r w:rsidR="002A38A7" w:rsidRPr="00FC6630">
        <w:t>om</w:t>
      </w:r>
      <w:r w:rsidR="00116DA6" w:rsidRPr="00FC6630">
        <w:t xml:space="preserve"> this legislation articulate the lead and supporting agencies for each hazard</w:t>
      </w:r>
      <w:r w:rsidR="005B4517">
        <w:t>,</w:t>
      </w:r>
      <w:r w:rsidR="00116DA6" w:rsidRPr="00FC6630">
        <w:t xml:space="preserve"> </w:t>
      </w:r>
      <w:r w:rsidR="00376D73" w:rsidRPr="00FC6630">
        <w:t>including emergency pests and diseases of plants and animals</w:t>
      </w:r>
      <w:r w:rsidR="00B705FA" w:rsidRPr="00FC6630">
        <w:t xml:space="preserve"> </w:t>
      </w:r>
      <w:r w:rsidR="005B4517">
        <w:t>(</w:t>
      </w:r>
      <w:r w:rsidR="00B705FA" w:rsidRPr="00FC6630">
        <w:t xml:space="preserve">including </w:t>
      </w:r>
      <w:r w:rsidR="00C27713" w:rsidRPr="00FC6630">
        <w:t xml:space="preserve">native </w:t>
      </w:r>
      <w:r w:rsidR="00B705FA" w:rsidRPr="00FC6630">
        <w:t>wildlife</w:t>
      </w:r>
      <w:r w:rsidR="005B4517">
        <w:t>)</w:t>
      </w:r>
      <w:r w:rsidR="00116DA6" w:rsidRPr="00FC6630">
        <w:t xml:space="preserve">. The arrangements </w:t>
      </w:r>
      <w:r w:rsidR="00FC6271" w:rsidRPr="00FC6630">
        <w:t>ensure</w:t>
      </w:r>
      <w:r w:rsidR="00234F91" w:rsidRPr="00FC6630">
        <w:t xml:space="preserve"> </w:t>
      </w:r>
      <w:r w:rsidR="005B4517">
        <w:t xml:space="preserve">that </w:t>
      </w:r>
      <w:r w:rsidR="005C00F7" w:rsidRPr="00FC6630">
        <w:t>there is</w:t>
      </w:r>
      <w:r w:rsidR="00C27713" w:rsidRPr="00FC6630">
        <w:t xml:space="preserve"> </w:t>
      </w:r>
      <w:r w:rsidR="00116DA6" w:rsidRPr="00FC6630">
        <w:t xml:space="preserve">coordinated support </w:t>
      </w:r>
      <w:r w:rsidR="00376D73" w:rsidRPr="00FC6630">
        <w:t>from government</w:t>
      </w:r>
      <w:r w:rsidR="00376D73" w:rsidRPr="0085452B">
        <w:rPr>
          <w:bCs/>
        </w:rPr>
        <w:t xml:space="preserve"> agencies </w:t>
      </w:r>
      <w:r w:rsidR="00116DA6" w:rsidRPr="0085452B">
        <w:rPr>
          <w:bCs/>
        </w:rPr>
        <w:t>for the control and management of diseases in wildlife</w:t>
      </w:r>
      <w:r w:rsidR="00116DA6" w:rsidRPr="0085452B">
        <w:t>.</w:t>
      </w:r>
    </w:p>
    <w:p w14:paraId="026BF364" w14:textId="36545436" w:rsidR="00116DA6" w:rsidRPr="008818E7" w:rsidRDefault="00CD5AEF" w:rsidP="005228D1">
      <w:pPr>
        <w:pStyle w:val="Heading3"/>
      </w:pPr>
      <w:bookmarkStart w:id="17" w:name="_Toc529783750"/>
      <w:r>
        <w:t>2.</w:t>
      </w:r>
      <w:r w:rsidR="00A66BEF">
        <w:t>1</w:t>
      </w:r>
      <w:r>
        <w:t>.3</w:t>
      </w:r>
      <w:r>
        <w:tab/>
      </w:r>
      <w:r w:rsidR="00105107" w:rsidRPr="008818E7">
        <w:t>Animal welfare legislation</w:t>
      </w:r>
      <w:bookmarkEnd w:id="17"/>
    </w:p>
    <w:p w14:paraId="658E13E5" w14:textId="324F34BD" w:rsidR="00404BB8" w:rsidRPr="00376D73" w:rsidRDefault="00550533" w:rsidP="00766FF7">
      <w:r>
        <w:t>S</w:t>
      </w:r>
      <w:r w:rsidR="00887E72" w:rsidRPr="00EE462D">
        <w:t>tate</w:t>
      </w:r>
      <w:r w:rsidR="00873A7A">
        <w:t>s</w:t>
      </w:r>
      <w:r w:rsidR="00887E72" w:rsidRPr="00EE462D">
        <w:t xml:space="preserve"> and </w:t>
      </w:r>
      <w:r w:rsidR="0047394B" w:rsidRPr="00EE462D">
        <w:t>territor</w:t>
      </w:r>
      <w:r>
        <w:t>ies</w:t>
      </w:r>
      <w:r w:rsidR="00887E72" w:rsidRPr="00EE462D">
        <w:t xml:space="preserve"> </w:t>
      </w:r>
      <w:r w:rsidR="000D660C" w:rsidRPr="00EE462D">
        <w:t>ha</w:t>
      </w:r>
      <w:r>
        <w:t>ve</w:t>
      </w:r>
      <w:r w:rsidR="00887E72" w:rsidRPr="00EE462D">
        <w:t xml:space="preserve"> legislation </w:t>
      </w:r>
      <w:r w:rsidR="00376D73">
        <w:t>for</w:t>
      </w:r>
      <w:r w:rsidR="00887E72" w:rsidRPr="00EE462D">
        <w:t xml:space="preserve"> the wel</w:t>
      </w:r>
      <w:r w:rsidR="0047394B" w:rsidRPr="00EE462D">
        <w:t xml:space="preserve">fare of animals. </w:t>
      </w:r>
      <w:r w:rsidR="00404BB8" w:rsidRPr="00376D73">
        <w:t>Th</w:t>
      </w:r>
      <w:r w:rsidR="00376D73" w:rsidRPr="00376D73">
        <w:t xml:space="preserve">is legislation </w:t>
      </w:r>
      <w:r w:rsidR="00497675" w:rsidRPr="00376D73">
        <w:t>set</w:t>
      </w:r>
      <w:r w:rsidR="00376D73" w:rsidRPr="00376D73">
        <w:t xml:space="preserve">s </w:t>
      </w:r>
      <w:r w:rsidR="00497675" w:rsidRPr="00376D73">
        <w:t>out the requirements for</w:t>
      </w:r>
      <w:r w:rsidR="005B4517">
        <w:t>,</w:t>
      </w:r>
      <w:r w:rsidR="00497675" w:rsidRPr="00376D73">
        <w:t xml:space="preserve"> and </w:t>
      </w:r>
      <w:r w:rsidR="00404BB8" w:rsidRPr="00376D73">
        <w:t>enforce</w:t>
      </w:r>
      <w:r w:rsidR="00376D73" w:rsidRPr="00376D73">
        <w:t>ment of</w:t>
      </w:r>
      <w:r w:rsidR="005B4517">
        <w:t>,</w:t>
      </w:r>
      <w:r w:rsidR="00404BB8" w:rsidRPr="00376D73">
        <w:t xml:space="preserve"> standards for animal welfare </w:t>
      </w:r>
      <w:r w:rsidR="00AB344D">
        <w:t>and</w:t>
      </w:r>
      <w:r w:rsidR="00404BB8" w:rsidRPr="00376D73">
        <w:t xml:space="preserve"> prevention of animal cruelty.</w:t>
      </w:r>
    </w:p>
    <w:p w14:paraId="0264F5FC" w14:textId="4C94B15B" w:rsidR="00105107" w:rsidRPr="00EE462D" w:rsidRDefault="0047394B" w:rsidP="00766FF7">
      <w:r w:rsidRPr="00EE462D">
        <w:t xml:space="preserve">The legislation aims to ensure </w:t>
      </w:r>
      <w:r w:rsidR="005B4517">
        <w:t xml:space="preserve">that </w:t>
      </w:r>
      <w:r w:rsidRPr="00EE462D">
        <w:t xml:space="preserve">all animals receive good levels of care and conditions </w:t>
      </w:r>
      <w:r w:rsidR="005B4517">
        <w:t>for</w:t>
      </w:r>
      <w:r w:rsidRPr="00EE462D">
        <w:t xml:space="preserve"> their welfare. In some states and territories, the agency respon</w:t>
      </w:r>
      <w:r w:rsidR="00E8410A">
        <w:t xml:space="preserve">sible for the legislation is </w:t>
      </w:r>
      <w:r w:rsidR="005B4517">
        <w:t xml:space="preserve">the </w:t>
      </w:r>
      <w:r w:rsidRPr="00EE462D">
        <w:t>primary industries</w:t>
      </w:r>
      <w:r w:rsidR="00B41D73">
        <w:t xml:space="preserve"> </w:t>
      </w:r>
      <w:r w:rsidR="00224159">
        <w:t>or</w:t>
      </w:r>
      <w:r w:rsidR="00B41D73">
        <w:t xml:space="preserve"> </w:t>
      </w:r>
      <w:r w:rsidRPr="00EE462D">
        <w:t xml:space="preserve">agriculture </w:t>
      </w:r>
      <w:r w:rsidR="005B4517">
        <w:t xml:space="preserve">agency; </w:t>
      </w:r>
      <w:r w:rsidRPr="00EE462D">
        <w:t>in other jurisdictions</w:t>
      </w:r>
      <w:r w:rsidR="005B4517">
        <w:t>,</w:t>
      </w:r>
      <w:r w:rsidRPr="00EE462D">
        <w:t xml:space="preserve"> it is the agency responsible for the environment</w:t>
      </w:r>
      <w:r w:rsidR="00497675">
        <w:t xml:space="preserve">, or even a </w:t>
      </w:r>
      <w:r w:rsidR="00946D6B">
        <w:t>n</w:t>
      </w:r>
      <w:r w:rsidR="008516F4">
        <w:t>ongovernment organi</w:t>
      </w:r>
      <w:r w:rsidR="005B4517">
        <w:t>s</w:t>
      </w:r>
      <w:r w:rsidR="008516F4">
        <w:t>ation</w:t>
      </w:r>
      <w:r w:rsidR="00497675">
        <w:t xml:space="preserve">. </w:t>
      </w:r>
      <w:r w:rsidRPr="00EE462D">
        <w:t xml:space="preserve">Inspectors under the legislation </w:t>
      </w:r>
      <w:r w:rsidR="00E5540D">
        <w:t>may be</w:t>
      </w:r>
      <w:r w:rsidRPr="00EE462D">
        <w:t xml:space="preserve"> from government agencies</w:t>
      </w:r>
      <w:r w:rsidR="00E5540D">
        <w:t xml:space="preserve">, </w:t>
      </w:r>
      <w:r w:rsidRPr="00EE462D">
        <w:t xml:space="preserve">the RSPCA, </w:t>
      </w:r>
      <w:r w:rsidR="00E5540D">
        <w:t xml:space="preserve">or </w:t>
      </w:r>
      <w:r w:rsidR="00DA7928">
        <w:t xml:space="preserve">state </w:t>
      </w:r>
      <w:r w:rsidR="00224159">
        <w:t>or</w:t>
      </w:r>
      <w:r w:rsidR="00DA7928">
        <w:t xml:space="preserve"> territory </w:t>
      </w:r>
      <w:r w:rsidR="00946D6B">
        <w:t>p</w:t>
      </w:r>
      <w:r w:rsidRPr="00EE462D">
        <w:t>olice.</w:t>
      </w:r>
    </w:p>
    <w:p w14:paraId="14C3C2CB" w14:textId="63FF0916" w:rsidR="00404BB8" w:rsidRPr="00EE462D" w:rsidRDefault="00404BB8" w:rsidP="00766FF7">
      <w:r w:rsidRPr="00EE462D">
        <w:t>There is no national animal welfare legislation.</w:t>
      </w:r>
    </w:p>
    <w:p w14:paraId="0569B039" w14:textId="12AE7D1D" w:rsidR="00E5540D" w:rsidRDefault="00E5540D" w:rsidP="00766FF7">
      <w:r>
        <w:t>Animal welfare</w:t>
      </w:r>
      <w:r w:rsidRPr="00EE462D">
        <w:t xml:space="preserve"> </w:t>
      </w:r>
      <w:r w:rsidR="0047394B" w:rsidRPr="00EE462D">
        <w:t>legislation puts the onus o</w:t>
      </w:r>
      <w:r w:rsidR="00C109AC">
        <w:t>n</w:t>
      </w:r>
      <w:r w:rsidR="0047394B" w:rsidRPr="00EE462D">
        <w:t xml:space="preserve"> the carers of animals to ensure </w:t>
      </w:r>
      <w:r>
        <w:t xml:space="preserve">that </w:t>
      </w:r>
      <w:r w:rsidR="0047394B" w:rsidRPr="00EE462D">
        <w:t>welfare is of an acceptable standard. The legislation may be supported by codes of practice</w:t>
      </w:r>
      <w:r>
        <w:t>.</w:t>
      </w:r>
      <w:r w:rsidR="0047394B" w:rsidRPr="00EE462D">
        <w:t xml:space="preserve"> </w:t>
      </w:r>
    </w:p>
    <w:p w14:paraId="35EBD5C3" w14:textId="56C15D73" w:rsidR="0047394B" w:rsidRPr="00FC6630" w:rsidRDefault="00E5540D" w:rsidP="00766FF7">
      <w:pPr>
        <w:rPr>
          <w:bCs/>
          <w:szCs w:val="24"/>
        </w:rPr>
      </w:pPr>
      <w:r>
        <w:t>W</w:t>
      </w:r>
      <w:r w:rsidR="0047394B" w:rsidRPr="00EE462D">
        <w:t>elfare of animals</w:t>
      </w:r>
      <w:r>
        <w:t>,</w:t>
      </w:r>
      <w:r w:rsidR="0047394B" w:rsidRPr="00EE462D">
        <w:t xml:space="preserve"> including wildlife</w:t>
      </w:r>
      <w:r>
        <w:t>,</w:t>
      </w:r>
      <w:r w:rsidR="0047394B" w:rsidRPr="00EE462D">
        <w:t xml:space="preserve"> must be a consideration in the control and management of a disease in wildlife. </w:t>
      </w:r>
      <w:r w:rsidR="00F31797">
        <w:rPr>
          <w:bCs/>
        </w:rPr>
        <w:t>M</w:t>
      </w:r>
      <w:r w:rsidR="0047394B" w:rsidRPr="00FC6630">
        <w:rPr>
          <w:bCs/>
        </w:rPr>
        <w:t>anagement of a</w:t>
      </w:r>
      <w:r>
        <w:rPr>
          <w:bCs/>
        </w:rPr>
        <w:t>n EWD</w:t>
      </w:r>
      <w:r w:rsidR="0047394B" w:rsidRPr="00FC6630">
        <w:rPr>
          <w:bCs/>
        </w:rPr>
        <w:t xml:space="preserve"> response does not provide an opportunity to set aside legislative requirements for animal welfare. </w:t>
      </w:r>
    </w:p>
    <w:p w14:paraId="0B6ACB74" w14:textId="4D2AB745" w:rsidR="00E62D1C" w:rsidRPr="00020379" w:rsidRDefault="00E62D1C" w:rsidP="00766FF7">
      <w:pPr>
        <w:rPr>
          <w:color w:val="000000" w:themeColor="text1"/>
        </w:rPr>
      </w:pPr>
      <w:r w:rsidRPr="00B56CD9">
        <w:t xml:space="preserve">The </w:t>
      </w:r>
      <w:r w:rsidR="001E7A33" w:rsidRPr="00B56CD9">
        <w:t xml:space="preserve">AUSVETPLAN </w:t>
      </w:r>
      <w:r w:rsidRPr="00F31797">
        <w:rPr>
          <w:i/>
        </w:rPr>
        <w:t xml:space="preserve">Wild </w:t>
      </w:r>
      <w:r w:rsidR="00F31797" w:rsidRPr="00F31797">
        <w:rPr>
          <w:i/>
        </w:rPr>
        <w:t>a</w:t>
      </w:r>
      <w:r w:rsidRPr="00F31797">
        <w:rPr>
          <w:i/>
        </w:rPr>
        <w:t xml:space="preserve">nimal </w:t>
      </w:r>
      <w:r w:rsidR="00F31797" w:rsidRPr="00F31797">
        <w:rPr>
          <w:i/>
        </w:rPr>
        <w:t>r</w:t>
      </w:r>
      <w:r w:rsidRPr="00F31797">
        <w:rPr>
          <w:i/>
        </w:rPr>
        <w:t xml:space="preserve">esponse </w:t>
      </w:r>
      <w:r w:rsidR="00F31797" w:rsidRPr="00F31797">
        <w:rPr>
          <w:i/>
        </w:rPr>
        <w:t>s</w:t>
      </w:r>
      <w:r w:rsidRPr="00F31797">
        <w:rPr>
          <w:i/>
        </w:rPr>
        <w:t>trategy</w:t>
      </w:r>
      <w:r w:rsidR="00E5540D" w:rsidRPr="00B56CD9">
        <w:t>,</w:t>
      </w:r>
      <w:r w:rsidR="00E5540D" w:rsidRPr="00B56CD9">
        <w:rPr>
          <w:rStyle w:val="FootnoteReference"/>
        </w:rPr>
        <w:footnoteReference w:id="3"/>
      </w:r>
      <w:r w:rsidRPr="00B56CD9">
        <w:t xml:space="preserve"> and </w:t>
      </w:r>
      <w:r w:rsidRPr="00B56CD9">
        <w:rPr>
          <w:color w:val="000000" w:themeColor="text1"/>
        </w:rPr>
        <w:t>the </w:t>
      </w:r>
      <w:r w:rsidRPr="00B56CD9">
        <w:rPr>
          <w:i/>
          <w:color w:val="000000" w:themeColor="text1"/>
        </w:rPr>
        <w:t xml:space="preserve">Australian </w:t>
      </w:r>
      <w:r w:rsidR="00B56CD9" w:rsidRPr="00B56CD9">
        <w:rPr>
          <w:i/>
          <w:color w:val="000000" w:themeColor="text1"/>
        </w:rPr>
        <w:t>code for the care and use of animals for scientific purpo</w:t>
      </w:r>
      <w:r w:rsidRPr="00B56CD9">
        <w:rPr>
          <w:i/>
          <w:color w:val="000000" w:themeColor="text1"/>
        </w:rPr>
        <w:t>ses</w:t>
      </w:r>
      <w:r w:rsidR="00E5540D" w:rsidRPr="00B56CD9">
        <w:rPr>
          <w:rStyle w:val="FootnoteReference"/>
          <w:color w:val="000000" w:themeColor="text1"/>
        </w:rPr>
        <w:footnoteReference w:id="4"/>
      </w:r>
      <w:r w:rsidR="0044385D" w:rsidRPr="00B56CD9">
        <w:rPr>
          <w:color w:val="000000" w:themeColor="text1"/>
        </w:rPr>
        <w:t xml:space="preserve"> </w:t>
      </w:r>
      <w:r w:rsidRPr="00B56CD9">
        <w:t>list</w:t>
      </w:r>
      <w:r w:rsidR="00E5540D" w:rsidRPr="00B56CD9">
        <w:t xml:space="preserve"> </w:t>
      </w:r>
      <w:r w:rsidRPr="00B56CD9">
        <w:t>Australian</w:t>
      </w:r>
      <w:r w:rsidRPr="00D103D7">
        <w:t xml:space="preserve"> legislation relevant to wildlife welfare, disease and management. </w:t>
      </w:r>
    </w:p>
    <w:p w14:paraId="33745988" w14:textId="20897FE8" w:rsidR="00105107" w:rsidRDefault="00CD5AEF" w:rsidP="005228D1">
      <w:pPr>
        <w:pStyle w:val="Heading3"/>
      </w:pPr>
      <w:bookmarkStart w:id="18" w:name="_Toc529783751"/>
      <w:bookmarkStart w:id="19" w:name="_Hlk502933280"/>
      <w:r>
        <w:t>2.</w:t>
      </w:r>
      <w:r w:rsidR="00A66BEF">
        <w:t>1</w:t>
      </w:r>
      <w:r>
        <w:t>.4</w:t>
      </w:r>
      <w:r>
        <w:tab/>
      </w:r>
      <w:r w:rsidR="00105107" w:rsidRPr="008818E7">
        <w:t>Wildlife protection and management legislation</w:t>
      </w:r>
      <w:bookmarkEnd w:id="18"/>
    </w:p>
    <w:bookmarkEnd w:id="19"/>
    <w:p w14:paraId="3FFE8B15" w14:textId="0E0A5161" w:rsidR="00181280" w:rsidRPr="00EE462D" w:rsidRDefault="00550533" w:rsidP="00766FF7">
      <w:r>
        <w:t>S</w:t>
      </w:r>
      <w:r w:rsidR="0027623D" w:rsidRPr="00EE462D">
        <w:t>tate</w:t>
      </w:r>
      <w:r w:rsidR="000732D3">
        <w:t>s</w:t>
      </w:r>
      <w:r w:rsidR="0027623D" w:rsidRPr="00EE462D">
        <w:t xml:space="preserve"> and territor</w:t>
      </w:r>
      <w:r>
        <w:t>ies</w:t>
      </w:r>
      <w:r w:rsidR="0027623D" w:rsidRPr="00EE462D">
        <w:t xml:space="preserve"> ha</w:t>
      </w:r>
      <w:r>
        <w:t>ve</w:t>
      </w:r>
      <w:r w:rsidR="0027623D" w:rsidRPr="00EE462D">
        <w:t xml:space="preserve"> legislation that aims to protect </w:t>
      </w:r>
      <w:r w:rsidR="000732D3">
        <w:t xml:space="preserve">native </w:t>
      </w:r>
      <w:r w:rsidR="0027623D" w:rsidRPr="00EE462D">
        <w:t>fauna</w:t>
      </w:r>
      <w:r w:rsidR="00085B4D">
        <w:t>,</w:t>
      </w:r>
      <w:r w:rsidR="0027623D" w:rsidRPr="00EE462D">
        <w:t xml:space="preserve"> flora and the natural environment. This legislation </w:t>
      </w:r>
      <w:r w:rsidR="00C27713">
        <w:t xml:space="preserve">typically </w:t>
      </w:r>
      <w:r w:rsidR="0027623D" w:rsidRPr="00EE462D">
        <w:t>include</w:t>
      </w:r>
      <w:r w:rsidR="00862003">
        <w:t>s</w:t>
      </w:r>
      <w:r w:rsidR="0027623D" w:rsidRPr="00EE462D">
        <w:t xml:space="preserve"> specific protection for threatened </w:t>
      </w:r>
      <w:r w:rsidR="00C27713" w:rsidRPr="00EE462D">
        <w:t>species</w:t>
      </w:r>
      <w:r w:rsidR="00085B4D">
        <w:t>;</w:t>
      </w:r>
      <w:r w:rsidR="00C27713" w:rsidRPr="00EE462D">
        <w:t xml:space="preserve"> </w:t>
      </w:r>
      <w:r w:rsidR="00C27713" w:rsidRPr="00EE462D">
        <w:lastRenderedPageBreak/>
        <w:t>maintenance</w:t>
      </w:r>
      <w:r w:rsidR="0027623D" w:rsidRPr="00EE462D">
        <w:t xml:space="preserve"> of biodiversity</w:t>
      </w:r>
      <w:r w:rsidR="00085B4D">
        <w:t>;</w:t>
      </w:r>
      <w:r w:rsidR="00C27713">
        <w:t xml:space="preserve"> and</w:t>
      </w:r>
      <w:r w:rsidR="0027623D" w:rsidRPr="00EE462D">
        <w:t xml:space="preserve"> protection against killing, taking</w:t>
      </w:r>
      <w:r w:rsidR="00085B4D">
        <w:t>,</w:t>
      </w:r>
      <w:r w:rsidR="0027623D" w:rsidRPr="00EE462D">
        <w:t xml:space="preserve"> control</w:t>
      </w:r>
      <w:r w:rsidR="00085B4D">
        <w:t>ling</w:t>
      </w:r>
      <w:r w:rsidR="0027623D" w:rsidRPr="00EE462D">
        <w:t xml:space="preserve"> and harm</w:t>
      </w:r>
      <w:r w:rsidR="00085B4D">
        <w:t xml:space="preserve">ing </w:t>
      </w:r>
      <w:r w:rsidR="0027623D" w:rsidRPr="00EE462D">
        <w:t>wildlife.</w:t>
      </w:r>
      <w:r w:rsidR="00181280" w:rsidRPr="00EE462D">
        <w:t xml:space="preserve"> </w:t>
      </w:r>
    </w:p>
    <w:p w14:paraId="119B7905" w14:textId="3CE0A585" w:rsidR="007A11ED" w:rsidRPr="00EE462D" w:rsidRDefault="00181280" w:rsidP="00766FF7">
      <w:r w:rsidRPr="00EE462D">
        <w:t xml:space="preserve">In some </w:t>
      </w:r>
      <w:r w:rsidR="00EE462D">
        <w:t>instances,</w:t>
      </w:r>
      <w:r w:rsidRPr="00EE462D">
        <w:t xml:space="preserve"> the legislation that covers aquatic and marine wildlife may be separate </w:t>
      </w:r>
      <w:r w:rsidR="00085B4D">
        <w:t>from</w:t>
      </w:r>
      <w:r w:rsidR="00085B4D" w:rsidRPr="00EE462D">
        <w:t xml:space="preserve"> </w:t>
      </w:r>
      <w:r w:rsidRPr="00EE462D">
        <w:t>the legislation for terrestrial wildlife.</w:t>
      </w:r>
    </w:p>
    <w:p w14:paraId="01CC2C23" w14:textId="7861779D" w:rsidR="0027623D" w:rsidRPr="00EE462D" w:rsidRDefault="008C4BE1" w:rsidP="00766FF7">
      <w:r w:rsidRPr="00EE462D">
        <w:t xml:space="preserve">The </w:t>
      </w:r>
      <w:r w:rsidR="00085B4D">
        <w:t>Commonwealth</w:t>
      </w:r>
      <w:r w:rsidR="0027623D" w:rsidRPr="00EE462D">
        <w:t xml:space="preserve"> </w:t>
      </w:r>
      <w:r w:rsidR="00BD2620" w:rsidRPr="00085B4D">
        <w:rPr>
          <w:i/>
        </w:rPr>
        <w:t xml:space="preserve">Environment Protection and Biodiversity </w:t>
      </w:r>
      <w:r w:rsidR="00085B4D" w:rsidRPr="00085B4D">
        <w:rPr>
          <w:i/>
        </w:rPr>
        <w:t xml:space="preserve">Conservation </w:t>
      </w:r>
      <w:r w:rsidR="00BD2620" w:rsidRPr="00085B4D">
        <w:rPr>
          <w:i/>
        </w:rPr>
        <w:t>Act 1999</w:t>
      </w:r>
      <w:r w:rsidR="00BD2620">
        <w:t xml:space="preserve"> </w:t>
      </w:r>
      <w:r w:rsidR="00085B4D">
        <w:t xml:space="preserve">aims to </w:t>
      </w:r>
      <w:r w:rsidR="0027623D" w:rsidRPr="00EE462D">
        <w:t>protect the environment and biodiversity</w:t>
      </w:r>
      <w:r w:rsidR="00BD2620">
        <w:t xml:space="preserve"> across Australia</w:t>
      </w:r>
      <w:r w:rsidR="0027623D" w:rsidRPr="00EE462D">
        <w:t>.</w:t>
      </w:r>
    </w:p>
    <w:p w14:paraId="7D4A0744" w14:textId="7C4D6031" w:rsidR="0085452B" w:rsidRPr="00067884" w:rsidRDefault="00085B4D" w:rsidP="00766FF7">
      <w:r>
        <w:t>W</w:t>
      </w:r>
      <w:r w:rsidR="00D84D87" w:rsidRPr="00FC6630">
        <w:t xml:space="preserve">ildlife protection and management legislation </w:t>
      </w:r>
      <w:r>
        <w:t xml:space="preserve">needs to be considered </w:t>
      </w:r>
      <w:r w:rsidR="0027623D" w:rsidRPr="00FC6630">
        <w:t xml:space="preserve">during a response where tactics and tasks may </w:t>
      </w:r>
      <w:r w:rsidR="00BD2620" w:rsidRPr="00FC6630">
        <w:t xml:space="preserve">be contrary to the requirements of </w:t>
      </w:r>
      <w:r>
        <w:t>this</w:t>
      </w:r>
      <w:r w:rsidR="0027623D" w:rsidRPr="00FC6630">
        <w:t xml:space="preserve"> legislation</w:t>
      </w:r>
      <w:r w:rsidR="0027623D" w:rsidRPr="00067884">
        <w:t>.</w:t>
      </w:r>
      <w:r w:rsidR="00BD2620" w:rsidRPr="00067884">
        <w:t xml:space="preserve"> </w:t>
      </w:r>
      <w:r>
        <w:t>For example, t</w:t>
      </w:r>
      <w:r w:rsidR="004C6DC3" w:rsidRPr="00FC6630">
        <w:t>his may be the situation</w:t>
      </w:r>
      <w:r w:rsidR="00525A74" w:rsidRPr="00FC6630">
        <w:t xml:space="preserve"> </w:t>
      </w:r>
      <w:r>
        <w:t xml:space="preserve">if a </w:t>
      </w:r>
      <w:r w:rsidRPr="00FC6630">
        <w:t>native wildlife</w:t>
      </w:r>
      <w:r>
        <w:t xml:space="preserve"> species with </w:t>
      </w:r>
      <w:r w:rsidR="009A0912" w:rsidRPr="00FC6630">
        <w:t xml:space="preserve">high conservation status </w:t>
      </w:r>
      <w:r>
        <w:t>(</w:t>
      </w:r>
      <w:r w:rsidR="009A0912" w:rsidRPr="00FC6630">
        <w:t xml:space="preserve">such as vulnerable, </w:t>
      </w:r>
      <w:r w:rsidR="00525A74" w:rsidRPr="00FC6630">
        <w:t xml:space="preserve">endangered </w:t>
      </w:r>
      <w:r>
        <w:t>or</w:t>
      </w:r>
      <w:r w:rsidRPr="00FC6630">
        <w:t xml:space="preserve"> </w:t>
      </w:r>
      <w:r w:rsidR="009A0912" w:rsidRPr="00FC6630">
        <w:t xml:space="preserve">critically </w:t>
      </w:r>
      <w:r w:rsidR="004C6DC3" w:rsidRPr="00FC6630">
        <w:t>endangered</w:t>
      </w:r>
      <w:r>
        <w:t>)</w:t>
      </w:r>
      <w:r w:rsidR="00292AF2" w:rsidRPr="00FC6630">
        <w:t xml:space="preserve"> </w:t>
      </w:r>
      <w:r>
        <w:t xml:space="preserve">is </w:t>
      </w:r>
      <w:r w:rsidR="004C6DC3" w:rsidRPr="00FC6630">
        <w:t>affected by an EWD response.</w:t>
      </w:r>
      <w:r w:rsidR="009A0912" w:rsidRPr="00FC6630">
        <w:t xml:space="preserve"> </w:t>
      </w:r>
      <w:r>
        <w:t>A</w:t>
      </w:r>
      <w:r w:rsidR="0086792A" w:rsidRPr="00FC6630">
        <w:t>n</w:t>
      </w:r>
      <w:r w:rsidR="009A0912" w:rsidRPr="00FC6630">
        <w:t xml:space="preserve"> EWD response </w:t>
      </w:r>
      <w:r>
        <w:t>should</w:t>
      </w:r>
      <w:r w:rsidR="00525A74" w:rsidRPr="00FC6630">
        <w:t xml:space="preserve"> </w:t>
      </w:r>
      <w:r w:rsidR="009A0912" w:rsidRPr="00FC6630">
        <w:t xml:space="preserve">avoid </w:t>
      </w:r>
      <w:r>
        <w:t xml:space="preserve">any adverse </w:t>
      </w:r>
      <w:r w:rsidR="009A0912" w:rsidRPr="00FC6630">
        <w:t>chang</w:t>
      </w:r>
      <w:r>
        <w:t>e to</w:t>
      </w:r>
      <w:r w:rsidR="0085452B" w:rsidRPr="00FC6630">
        <w:t xml:space="preserve"> </w:t>
      </w:r>
      <w:r w:rsidR="009A0912" w:rsidRPr="00FC6630">
        <w:t xml:space="preserve">the </w:t>
      </w:r>
      <w:r w:rsidR="00547365" w:rsidRPr="00FC6630">
        <w:t xml:space="preserve">conservation </w:t>
      </w:r>
      <w:r w:rsidR="009A0912" w:rsidRPr="00FC6630">
        <w:t xml:space="preserve">status of </w:t>
      </w:r>
      <w:r w:rsidR="00547365" w:rsidRPr="00FC6630">
        <w:t>the species in question</w:t>
      </w:r>
      <w:r w:rsidR="009A0912" w:rsidRPr="00FC6630">
        <w:t xml:space="preserve"> </w:t>
      </w:r>
      <w:r w:rsidR="004B3407">
        <w:t>(</w:t>
      </w:r>
      <w:r w:rsidR="00547365" w:rsidRPr="00FC6630">
        <w:t>eg</w:t>
      </w:r>
      <w:r w:rsidR="009A0912" w:rsidRPr="00FC6630">
        <w:t xml:space="preserve"> a species being </w:t>
      </w:r>
      <w:r w:rsidR="004B3407">
        <w:t xml:space="preserve">moved from the </w:t>
      </w:r>
      <w:r w:rsidR="009A0912" w:rsidRPr="00FC6630">
        <w:t xml:space="preserve">vulnerable to </w:t>
      </w:r>
      <w:r w:rsidR="004B3407">
        <w:t xml:space="preserve">the </w:t>
      </w:r>
      <w:r w:rsidR="009A0912" w:rsidRPr="00FC6630">
        <w:t>endangered</w:t>
      </w:r>
      <w:r w:rsidR="004B3407">
        <w:t xml:space="preserve"> category)</w:t>
      </w:r>
      <w:r w:rsidR="009A0912" w:rsidRPr="00067884">
        <w:t xml:space="preserve">. </w:t>
      </w:r>
    </w:p>
    <w:p w14:paraId="0F2EA28B" w14:textId="5262F245" w:rsidR="004C6DC3" w:rsidRPr="00067884" w:rsidRDefault="009A0912" w:rsidP="00766FF7">
      <w:r w:rsidRPr="00FC6630">
        <w:t xml:space="preserve">Any impact will </w:t>
      </w:r>
      <w:r w:rsidR="00547365" w:rsidRPr="00FC6630">
        <w:t xml:space="preserve">also </w:t>
      </w:r>
      <w:r w:rsidRPr="00FC6630">
        <w:t>have to be negotiated with the relevant authority</w:t>
      </w:r>
      <w:r w:rsidR="004B3407">
        <w:t xml:space="preserve"> – </w:t>
      </w:r>
      <w:r w:rsidR="00D935AA" w:rsidRPr="00FC6630">
        <w:t xml:space="preserve">usually the </w:t>
      </w:r>
      <w:r w:rsidR="004B3407">
        <w:t xml:space="preserve">state or territory, or national, </w:t>
      </w:r>
      <w:r w:rsidR="00D935AA" w:rsidRPr="00FC6630">
        <w:t xml:space="preserve">environment agency </w:t>
      </w:r>
      <w:r w:rsidR="004B3407">
        <w:t xml:space="preserve">– </w:t>
      </w:r>
      <w:r w:rsidR="00D935AA" w:rsidRPr="00FC6630">
        <w:t xml:space="preserve">and </w:t>
      </w:r>
      <w:r w:rsidRPr="00FC6630">
        <w:t>a scientific permit</w:t>
      </w:r>
      <w:r w:rsidR="00D935AA" w:rsidRPr="00FC6630">
        <w:t xml:space="preserve"> </w:t>
      </w:r>
      <w:r w:rsidR="004B3407">
        <w:t xml:space="preserve">will be required </w:t>
      </w:r>
      <w:r w:rsidR="00740D07" w:rsidRPr="00FC6630">
        <w:t>before any control activities occur</w:t>
      </w:r>
      <w:r w:rsidRPr="00067884">
        <w:t>.</w:t>
      </w:r>
    </w:p>
    <w:p w14:paraId="147E7AA7" w14:textId="59A3F54C" w:rsidR="007A11ED" w:rsidRPr="008818E7" w:rsidRDefault="00CD5AEF" w:rsidP="005228D1">
      <w:pPr>
        <w:pStyle w:val="Heading3"/>
      </w:pPr>
      <w:bookmarkStart w:id="20" w:name="_Toc529783752"/>
      <w:r>
        <w:t>2.</w:t>
      </w:r>
      <w:r w:rsidR="00A66BEF">
        <w:t>1</w:t>
      </w:r>
      <w:r>
        <w:t>.5</w:t>
      </w:r>
      <w:r>
        <w:tab/>
      </w:r>
      <w:r w:rsidR="009A7399">
        <w:t xml:space="preserve">Human </w:t>
      </w:r>
      <w:r w:rsidR="009F5B76">
        <w:t>health legislation</w:t>
      </w:r>
      <w:bookmarkEnd w:id="20"/>
    </w:p>
    <w:p w14:paraId="6050F9E2" w14:textId="7D481E87" w:rsidR="00A646C1" w:rsidRPr="00EE462D" w:rsidRDefault="003C2C91" w:rsidP="00766FF7">
      <w:r w:rsidRPr="00EE462D">
        <w:t xml:space="preserve">The </w:t>
      </w:r>
      <w:r w:rsidR="00CA6B8A">
        <w:t>h</w:t>
      </w:r>
      <w:r w:rsidR="00DA7928">
        <w:t xml:space="preserve">uman </w:t>
      </w:r>
      <w:r w:rsidR="00CA6B8A">
        <w:t>h</w:t>
      </w:r>
      <w:r w:rsidRPr="00EE462D">
        <w:t xml:space="preserve">ealth legislation in each state and territory </w:t>
      </w:r>
      <w:r w:rsidR="004B3407">
        <w:t xml:space="preserve">enables </w:t>
      </w:r>
      <w:r w:rsidR="00A646C1" w:rsidRPr="00EE462D">
        <w:t>manage</w:t>
      </w:r>
      <w:r w:rsidR="004B3407">
        <w:t>ment</w:t>
      </w:r>
      <w:r w:rsidR="00A646C1" w:rsidRPr="00EE462D">
        <w:t xml:space="preserve"> and control</w:t>
      </w:r>
      <w:r w:rsidR="004B3407">
        <w:t xml:space="preserve"> of</w:t>
      </w:r>
      <w:r w:rsidR="00A646C1" w:rsidRPr="00EE462D">
        <w:t xml:space="preserve"> pests and diseases </w:t>
      </w:r>
      <w:r w:rsidR="004B3407">
        <w:t>in</w:t>
      </w:r>
      <w:r w:rsidR="004B3407" w:rsidRPr="00EE462D">
        <w:t xml:space="preserve"> </w:t>
      </w:r>
      <w:r w:rsidR="00A646C1" w:rsidRPr="00EE462D">
        <w:t xml:space="preserve">people. </w:t>
      </w:r>
      <w:r w:rsidR="00C65389">
        <w:t>This legislation may apply to s</w:t>
      </w:r>
      <w:r w:rsidR="00A646C1" w:rsidRPr="00EE462D">
        <w:t>ome known and yet</w:t>
      </w:r>
      <w:r w:rsidR="004B3407">
        <w:t>-</w:t>
      </w:r>
      <w:r w:rsidR="00A646C1" w:rsidRPr="00EE462D">
        <w:t>to</w:t>
      </w:r>
      <w:r w:rsidR="004B3407">
        <w:t>-</w:t>
      </w:r>
      <w:r w:rsidR="00A646C1" w:rsidRPr="00EE462D">
        <w:t>be</w:t>
      </w:r>
      <w:r w:rsidR="004B3407">
        <w:t>-</w:t>
      </w:r>
      <w:r w:rsidR="00A646C1" w:rsidRPr="00EE462D">
        <w:t xml:space="preserve">identified diseases of </w:t>
      </w:r>
      <w:r w:rsidR="00EB4147">
        <w:t xml:space="preserve">native </w:t>
      </w:r>
      <w:r w:rsidR="00A646C1" w:rsidRPr="00EE462D">
        <w:t xml:space="preserve">wildlife </w:t>
      </w:r>
      <w:r w:rsidR="00C65389">
        <w:t xml:space="preserve">that </w:t>
      </w:r>
      <w:r w:rsidR="00A646C1" w:rsidRPr="00EE462D">
        <w:t>are zoonotic</w:t>
      </w:r>
      <w:r w:rsidR="005823A9">
        <w:t xml:space="preserve">. These </w:t>
      </w:r>
      <w:r w:rsidR="00EB4147">
        <w:t xml:space="preserve">zoonotic </w:t>
      </w:r>
      <w:r w:rsidR="005823A9">
        <w:t xml:space="preserve">diseases </w:t>
      </w:r>
      <w:r w:rsidR="00B705FA">
        <w:t>may or may not be the target EWD of a response</w:t>
      </w:r>
      <w:r w:rsidR="00A646C1" w:rsidRPr="00EE462D">
        <w:t xml:space="preserve">. </w:t>
      </w:r>
    </w:p>
    <w:p w14:paraId="14A621BE" w14:textId="7642D551" w:rsidR="003C2C91" w:rsidRPr="0085452B" w:rsidRDefault="00A646C1" w:rsidP="00766FF7">
      <w:pPr>
        <w:rPr>
          <w:szCs w:val="24"/>
        </w:rPr>
      </w:pPr>
      <w:r w:rsidRPr="00FC6630">
        <w:rPr>
          <w:bCs/>
        </w:rPr>
        <w:t xml:space="preserve">The requirements of </w:t>
      </w:r>
      <w:r w:rsidR="00CA6B8A" w:rsidRPr="00FC6630">
        <w:rPr>
          <w:bCs/>
        </w:rPr>
        <w:t>h</w:t>
      </w:r>
      <w:r w:rsidR="00DA7928" w:rsidRPr="00FC6630">
        <w:rPr>
          <w:bCs/>
        </w:rPr>
        <w:t xml:space="preserve">uman </w:t>
      </w:r>
      <w:r w:rsidR="00CA6B8A" w:rsidRPr="00FC6630">
        <w:rPr>
          <w:bCs/>
        </w:rPr>
        <w:t>h</w:t>
      </w:r>
      <w:r w:rsidRPr="00FC6630">
        <w:rPr>
          <w:bCs/>
        </w:rPr>
        <w:t>ealth legislation for zoonoses must be considered whe</w:t>
      </w:r>
      <w:r w:rsidR="004B3407">
        <w:rPr>
          <w:bCs/>
        </w:rPr>
        <w:t>n</w:t>
      </w:r>
      <w:r w:rsidRPr="00FC6630">
        <w:rPr>
          <w:bCs/>
        </w:rPr>
        <w:t xml:space="preserve"> the incident involves </w:t>
      </w:r>
      <w:r w:rsidR="00AB5BCD" w:rsidRPr="00FC6630">
        <w:rPr>
          <w:bCs/>
        </w:rPr>
        <w:t xml:space="preserve">potential </w:t>
      </w:r>
      <w:r w:rsidRPr="00FC6630">
        <w:rPr>
          <w:bCs/>
        </w:rPr>
        <w:t xml:space="preserve">exposure of personnel </w:t>
      </w:r>
      <w:r w:rsidR="00497675" w:rsidRPr="00FC6630">
        <w:rPr>
          <w:bCs/>
        </w:rPr>
        <w:t xml:space="preserve">and the community </w:t>
      </w:r>
      <w:r w:rsidRPr="00FC6630">
        <w:rPr>
          <w:bCs/>
        </w:rPr>
        <w:t xml:space="preserve">to </w:t>
      </w:r>
      <w:r w:rsidR="00EB4147" w:rsidRPr="00FC6630">
        <w:rPr>
          <w:bCs/>
        </w:rPr>
        <w:t xml:space="preserve">a </w:t>
      </w:r>
      <w:r w:rsidRPr="00FC6630">
        <w:rPr>
          <w:bCs/>
        </w:rPr>
        <w:t>zoonotic disease.</w:t>
      </w:r>
      <w:r w:rsidR="004B3407">
        <w:t xml:space="preserve"> T</w:t>
      </w:r>
      <w:r w:rsidR="00507A1E" w:rsidRPr="0085452B">
        <w:t xml:space="preserve">his </w:t>
      </w:r>
      <w:r w:rsidR="00AB5BCD" w:rsidRPr="0085452B">
        <w:t xml:space="preserve">legislation is likely to be </w:t>
      </w:r>
      <w:r w:rsidR="004B3407">
        <w:t xml:space="preserve">used </w:t>
      </w:r>
      <w:r w:rsidR="00AB5BCD" w:rsidRPr="0085452B">
        <w:t xml:space="preserve">for zoonoses of significance rather than the </w:t>
      </w:r>
      <w:r w:rsidR="005823A9" w:rsidRPr="0085452B">
        <w:t xml:space="preserve">more common </w:t>
      </w:r>
      <w:r w:rsidR="00AB5BCD" w:rsidRPr="0085452B">
        <w:t>zoonoses.</w:t>
      </w:r>
    </w:p>
    <w:p w14:paraId="58AFFA11" w14:textId="48A164E4" w:rsidR="008279CF" w:rsidRPr="008279CF" w:rsidRDefault="00CD5AEF" w:rsidP="005228D1">
      <w:pPr>
        <w:pStyle w:val="Heading3"/>
      </w:pPr>
      <w:bookmarkStart w:id="21" w:name="_Toc529783753"/>
      <w:r>
        <w:t>2.</w:t>
      </w:r>
      <w:r w:rsidR="00A66BEF">
        <w:t>1</w:t>
      </w:r>
      <w:r>
        <w:t>.6</w:t>
      </w:r>
      <w:r>
        <w:tab/>
      </w:r>
      <w:r w:rsidR="008279CF" w:rsidRPr="008279CF">
        <w:t>Other legislation</w:t>
      </w:r>
      <w:bookmarkEnd w:id="21"/>
    </w:p>
    <w:p w14:paraId="01756B29" w14:textId="493EBCBD" w:rsidR="00234F91" w:rsidRPr="00234F91" w:rsidRDefault="001D7269" w:rsidP="005228D1">
      <w:pPr>
        <w:pStyle w:val="Heading4"/>
      </w:pPr>
      <w:r>
        <w:t>T</w:t>
      </w:r>
      <w:r w:rsidR="00234F91" w:rsidRPr="00234F91">
        <w:t>ransport</w:t>
      </w:r>
      <w:r>
        <w:t xml:space="preserve"> of samples</w:t>
      </w:r>
    </w:p>
    <w:p w14:paraId="10EEA06E" w14:textId="07024B60" w:rsidR="008279CF" w:rsidRDefault="008279CF" w:rsidP="00766FF7">
      <w:r w:rsidRPr="00497675">
        <w:t xml:space="preserve">Among the wide range of everyday requirements that must be complied with during </w:t>
      </w:r>
      <w:r w:rsidR="0086792A" w:rsidRPr="00497675">
        <w:t>an</w:t>
      </w:r>
      <w:r w:rsidRPr="00497675">
        <w:t xml:space="preserve"> </w:t>
      </w:r>
      <w:r w:rsidR="00DA7928">
        <w:t xml:space="preserve">EWD </w:t>
      </w:r>
      <w:r w:rsidRPr="00497675">
        <w:t xml:space="preserve">response are those relating to transport of samples and related materials </w:t>
      </w:r>
      <w:r w:rsidR="000E5025">
        <w:t>within</w:t>
      </w:r>
      <w:r w:rsidRPr="00497675">
        <w:t xml:space="preserve"> Australia</w:t>
      </w:r>
      <w:r w:rsidR="000E5025">
        <w:t xml:space="preserve"> and overseas</w:t>
      </w:r>
      <w:r w:rsidRPr="00497675">
        <w:t xml:space="preserve">. </w:t>
      </w:r>
    </w:p>
    <w:p w14:paraId="198F1F44" w14:textId="43DE81C6" w:rsidR="004B3407" w:rsidRDefault="00045EBF" w:rsidP="001D7269">
      <w:r>
        <w:t>W</w:t>
      </w:r>
      <w:r w:rsidRPr="00E11510">
        <w:t>here there is a sus</w:t>
      </w:r>
      <w:r>
        <w:t>picion of a notifiable or emergency</w:t>
      </w:r>
      <w:r w:rsidRPr="00E11510">
        <w:t xml:space="preserve"> animal disease</w:t>
      </w:r>
      <w:r>
        <w:t>, t</w:t>
      </w:r>
      <w:r w:rsidR="004B3407">
        <w:t xml:space="preserve">he relevant state or territory laboratory should coordinate sample packaging and consignment for delivery to </w:t>
      </w:r>
      <w:r w:rsidR="001D7269">
        <w:t xml:space="preserve">the </w:t>
      </w:r>
      <w:r w:rsidR="001D7269" w:rsidRPr="002C5FC6">
        <w:rPr>
          <w:rFonts w:cstheme="minorHAnsi"/>
        </w:rPr>
        <w:t>Commonwealth Scientific and Industrial Research Organisation</w:t>
      </w:r>
      <w:r w:rsidR="001D7269">
        <w:rPr>
          <w:rFonts w:cstheme="minorHAnsi"/>
        </w:rPr>
        <w:t xml:space="preserve"> </w:t>
      </w:r>
      <w:r w:rsidR="001D7269" w:rsidRPr="00497675">
        <w:t xml:space="preserve">Australian Animal Health Laboratory </w:t>
      </w:r>
      <w:r w:rsidR="001D7269">
        <w:t>(</w:t>
      </w:r>
      <w:r w:rsidR="004B3407">
        <w:t>CSIRO-AAHL</w:t>
      </w:r>
      <w:r w:rsidR="001D7269">
        <w:t>)</w:t>
      </w:r>
      <w:r w:rsidR="004B3407">
        <w:t xml:space="preserve">, Geelong, for emergency disease testing. Specimens should be forwarded to CSIRO-AAHL after the necessary clearance has been obtained from the chief veterinary officer (CVO) of the state or territory of the suspect case, and after the CVOs of Victoria and Australia have been informed about the case and the transport of the specimens to Geelong. </w:t>
      </w:r>
    </w:p>
    <w:p w14:paraId="4DFDB82B" w14:textId="0CCF71D5" w:rsidR="004B3407" w:rsidRDefault="004B3407" w:rsidP="004B3407">
      <w:r>
        <w:t>For further information, see th</w:t>
      </w:r>
      <w:r w:rsidRPr="00B56CD9">
        <w:t>e</w:t>
      </w:r>
      <w:r w:rsidR="001D7269" w:rsidRPr="00B56CD9">
        <w:t xml:space="preserve"> AUSVETPLAN </w:t>
      </w:r>
      <w:r w:rsidR="00B56CD9">
        <w:rPr>
          <w:bCs/>
          <w:i/>
        </w:rPr>
        <w:t>Laboratory preparedness m</w:t>
      </w:r>
      <w:r w:rsidRPr="00B56CD9">
        <w:rPr>
          <w:bCs/>
          <w:i/>
        </w:rPr>
        <w:t>anual</w:t>
      </w:r>
      <w:r w:rsidRPr="00B56CD9">
        <w:t>.</w:t>
      </w:r>
      <w:r w:rsidR="00B56CD9">
        <w:rPr>
          <w:rStyle w:val="FootnoteReference"/>
        </w:rPr>
        <w:footnoteReference w:id="5"/>
      </w:r>
    </w:p>
    <w:p w14:paraId="5241B79A" w14:textId="5F8C4F0E" w:rsidR="00E11510" w:rsidRPr="00497675" w:rsidRDefault="00344BE3" w:rsidP="00766FF7">
      <w:r w:rsidRPr="00FC6630">
        <w:lastRenderedPageBreak/>
        <w:t>S</w:t>
      </w:r>
      <w:r w:rsidR="002103A2" w:rsidRPr="00FC6630">
        <w:t xml:space="preserve">amples must not be sent to overseas laboratories for testing without the permission </w:t>
      </w:r>
      <w:r w:rsidR="00E11510" w:rsidRPr="00FC6630">
        <w:t>of the state or territory CVO</w:t>
      </w:r>
      <w:r w:rsidR="00E11510" w:rsidRPr="00067884">
        <w:t xml:space="preserve">, </w:t>
      </w:r>
      <w:r w:rsidR="00E11510" w:rsidRPr="00FC6630">
        <w:t>who will liaise with the A</w:t>
      </w:r>
      <w:r w:rsidR="001D7269">
        <w:t xml:space="preserve">ustralian </w:t>
      </w:r>
      <w:r w:rsidR="00E11510" w:rsidRPr="00FC6630">
        <w:t>CVO as required</w:t>
      </w:r>
      <w:r w:rsidR="00E11510" w:rsidRPr="00067884">
        <w:t>. Th</w:t>
      </w:r>
      <w:r w:rsidR="001D7269">
        <w:t>is</w:t>
      </w:r>
      <w:r w:rsidR="00E11510" w:rsidRPr="00067884">
        <w:t xml:space="preserve"> policy for the transfer of </w:t>
      </w:r>
      <w:r w:rsidR="00E11510" w:rsidRPr="00FC6630">
        <w:t>biological</w:t>
      </w:r>
      <w:r w:rsidR="00E11510" w:rsidRPr="00E11510">
        <w:t xml:space="preserve"> specimens to overseas laboratories for</w:t>
      </w:r>
      <w:r w:rsidR="001D7269">
        <w:t xml:space="preserve"> testing for</w:t>
      </w:r>
      <w:r w:rsidR="00E11510" w:rsidRPr="00E11510">
        <w:t xml:space="preserve"> infectious and parasitic disease</w:t>
      </w:r>
      <w:r w:rsidR="001D7269">
        <w:t xml:space="preserve">s </w:t>
      </w:r>
      <w:r w:rsidR="00E11510" w:rsidRPr="00E11510">
        <w:t>exists because there is a real possibility that inappropriate or unvalidated tests overseas may suggest the presence of a disease or parasite agent not previously considered to be in Australia</w:t>
      </w:r>
      <w:r w:rsidR="001D7269">
        <w:t xml:space="preserve">; this </w:t>
      </w:r>
      <w:r w:rsidR="00E11510" w:rsidRPr="00E11510">
        <w:t xml:space="preserve">could have serious socioeconomic impacts. </w:t>
      </w:r>
      <w:r w:rsidR="008B4AA9">
        <w:t xml:space="preserve">There is also some risk of spreading diseases between countries. </w:t>
      </w:r>
      <w:r w:rsidR="003F63F0">
        <w:t xml:space="preserve">The </w:t>
      </w:r>
      <w:r w:rsidR="00E11510" w:rsidRPr="00E11510">
        <w:t>local department of primary industries or W</w:t>
      </w:r>
      <w:r w:rsidR="008763CE">
        <w:t>ildlife Health Australia (W</w:t>
      </w:r>
      <w:r w:rsidR="00E11510" w:rsidRPr="00E11510">
        <w:t>HA</w:t>
      </w:r>
      <w:r w:rsidR="008763CE">
        <w:t>)</w:t>
      </w:r>
      <w:r w:rsidR="00E11510" w:rsidRPr="00E11510">
        <w:t xml:space="preserve"> Coordinator </w:t>
      </w:r>
      <w:r w:rsidR="001D7269">
        <w:t>can</w:t>
      </w:r>
      <w:r w:rsidR="003F63F0">
        <w:t xml:space="preserve"> provide </w:t>
      </w:r>
      <w:r w:rsidR="00E11510" w:rsidRPr="00E11510">
        <w:t>more information.</w:t>
      </w:r>
    </w:p>
    <w:p w14:paraId="78CF7591" w14:textId="03898A9B" w:rsidR="000B7852" w:rsidRDefault="008279CF" w:rsidP="00766FF7">
      <w:r w:rsidRPr="00497675">
        <w:t xml:space="preserve">The International Air Transport Association </w:t>
      </w:r>
      <w:r w:rsidR="00224DF1">
        <w:t xml:space="preserve">(IATA) </w:t>
      </w:r>
      <w:r w:rsidR="001D7269">
        <w:t xml:space="preserve">specifies the </w:t>
      </w:r>
      <w:r w:rsidRPr="00497675">
        <w:t>requirements for mov</w:t>
      </w:r>
      <w:r w:rsidR="001D7269">
        <w:t>ing</w:t>
      </w:r>
      <w:r w:rsidRPr="00497675">
        <w:t xml:space="preserve"> materials by air in Australia and internationally. </w:t>
      </w:r>
      <w:r w:rsidR="007C4CC4">
        <w:t>Samples must meet these requirements</w:t>
      </w:r>
      <w:r w:rsidR="001D7269">
        <w:t>, which</w:t>
      </w:r>
      <w:r w:rsidR="007C4CC4">
        <w:t xml:space="preserve"> may include packing by </w:t>
      </w:r>
      <w:r w:rsidR="006840D4">
        <w:t xml:space="preserve">a </w:t>
      </w:r>
      <w:r w:rsidR="007C4CC4">
        <w:t xml:space="preserve">person approved or accredited for dangerous goods packaging. </w:t>
      </w:r>
    </w:p>
    <w:p w14:paraId="3B27E5BF" w14:textId="472FDF78" w:rsidR="00EA550F" w:rsidRDefault="00224DF1" w:rsidP="00766FF7">
      <w:r>
        <w:t xml:space="preserve">The IATA </w:t>
      </w:r>
      <w:r w:rsidR="00EA550F">
        <w:t xml:space="preserve">requirements </w:t>
      </w:r>
      <w:r>
        <w:t xml:space="preserve">also </w:t>
      </w:r>
      <w:r w:rsidR="001D7269">
        <w:t>apply to</w:t>
      </w:r>
      <w:r w:rsidR="00EA550F">
        <w:t xml:space="preserve"> ground transport of samples.</w:t>
      </w:r>
    </w:p>
    <w:p w14:paraId="66535613" w14:textId="3E7E56A6" w:rsidR="00EA550F" w:rsidRDefault="001D7269" w:rsidP="00766FF7">
      <w:r>
        <w:t>I</w:t>
      </w:r>
      <w:r w:rsidR="00EA550F">
        <w:t xml:space="preserve">n addition to meeting the requirements for ground and air transport of samples, there may be requirements for movement of samples that result </w:t>
      </w:r>
      <w:r>
        <w:t xml:space="preserve">from </w:t>
      </w:r>
      <w:r w:rsidR="00EA550F">
        <w:t xml:space="preserve">movement </w:t>
      </w:r>
      <w:r w:rsidR="007C4CC4">
        <w:t xml:space="preserve">controls and </w:t>
      </w:r>
      <w:r w:rsidR="00EA550F">
        <w:t>restrictions applied u</w:t>
      </w:r>
      <w:r w:rsidR="007C4CC4">
        <w:t>nder</w:t>
      </w:r>
      <w:r w:rsidR="00EA550F">
        <w:t xml:space="preserve"> the biosecurity legislation during a</w:t>
      </w:r>
      <w:r w:rsidR="007C4CC4">
        <w:t>n EWD</w:t>
      </w:r>
      <w:r w:rsidR="00EA550F">
        <w:t xml:space="preserve"> response. For example, declar</w:t>
      </w:r>
      <w:r>
        <w:t>ed</w:t>
      </w:r>
      <w:r w:rsidR="00EA550F">
        <w:t xml:space="preserve"> zones such as </w:t>
      </w:r>
      <w:r w:rsidR="009F47F9">
        <w:t xml:space="preserve">an </w:t>
      </w:r>
      <w:r w:rsidR="00EA550F">
        <w:t xml:space="preserve">RA or CA </w:t>
      </w:r>
      <w:r w:rsidR="001E7A33">
        <w:t>may</w:t>
      </w:r>
      <w:r w:rsidR="00EA550F">
        <w:t xml:space="preserve"> include restrictions on movement of risk materials</w:t>
      </w:r>
      <w:r>
        <w:t>,</w:t>
      </w:r>
      <w:r w:rsidR="00EA550F">
        <w:t xml:space="preserve"> including samples. A legal instrument such as a permit </w:t>
      </w:r>
      <w:r w:rsidR="001E7A33">
        <w:t>may</w:t>
      </w:r>
      <w:r w:rsidR="00EA550F">
        <w:t xml:space="preserve"> need to be issued to cover the movement of samples </w:t>
      </w:r>
      <w:r w:rsidR="00B41D73">
        <w:t xml:space="preserve">within or </w:t>
      </w:r>
      <w:r w:rsidR="00EA550F">
        <w:t>through a</w:t>
      </w:r>
      <w:r>
        <w:t>n</w:t>
      </w:r>
      <w:r w:rsidR="00EA550F">
        <w:t xml:space="preserve"> RA or CA.</w:t>
      </w:r>
    </w:p>
    <w:p w14:paraId="589624AA" w14:textId="77777777" w:rsidR="001D7269" w:rsidRDefault="001D7269" w:rsidP="001D7269">
      <w:pPr>
        <w:pStyle w:val="Heading4"/>
      </w:pPr>
      <w:r w:rsidRPr="00FC6630">
        <w:t>Convention on International Trade in Endangered Species</w:t>
      </w:r>
      <w:r w:rsidRPr="00234F91" w:rsidDel="001D7269">
        <w:t xml:space="preserve"> </w:t>
      </w:r>
    </w:p>
    <w:p w14:paraId="471CBC3A" w14:textId="4A856C61" w:rsidR="00855998" w:rsidRPr="00926991" w:rsidRDefault="00234F91" w:rsidP="00766FF7">
      <w:r w:rsidRPr="00FC6630">
        <w:t>M</w:t>
      </w:r>
      <w:r w:rsidR="00446162" w:rsidRPr="00FC6630">
        <w:t xml:space="preserve">any </w:t>
      </w:r>
      <w:r w:rsidR="008D0511" w:rsidRPr="00FC6630">
        <w:t xml:space="preserve">Australian </w:t>
      </w:r>
      <w:r w:rsidR="00446162" w:rsidRPr="00FC6630">
        <w:t xml:space="preserve">native species are recognised </w:t>
      </w:r>
      <w:r w:rsidR="001D7269">
        <w:t>under</w:t>
      </w:r>
      <w:r w:rsidR="001D7269" w:rsidRPr="00FC6630">
        <w:t xml:space="preserve"> </w:t>
      </w:r>
      <w:r w:rsidR="00FC6271" w:rsidRPr="001D7269">
        <w:t xml:space="preserve">the </w:t>
      </w:r>
      <w:r w:rsidR="00FC6271" w:rsidRPr="00FC6630">
        <w:t>Convention on International Trade in Endangered Species (</w:t>
      </w:r>
      <w:r w:rsidR="00446162" w:rsidRPr="00FC6630">
        <w:t>CITES</w:t>
      </w:r>
      <w:r w:rsidR="00FC6271" w:rsidRPr="00FC6630">
        <w:t>)</w:t>
      </w:r>
      <w:r w:rsidR="00446162" w:rsidRPr="00FC6630">
        <w:t xml:space="preserve">, which aims to protect and conserve wildlife by regulating international trade. </w:t>
      </w:r>
      <w:r w:rsidR="00D74F08">
        <w:t xml:space="preserve">Under </w:t>
      </w:r>
      <w:r w:rsidR="00446162" w:rsidRPr="00FC6630">
        <w:t>CITES</w:t>
      </w:r>
      <w:r w:rsidR="00D74F08">
        <w:t xml:space="preserve">, </w:t>
      </w:r>
      <w:r w:rsidR="00446162" w:rsidRPr="00FC6630">
        <w:t xml:space="preserve">a permit </w:t>
      </w:r>
      <w:r w:rsidR="00D74F08">
        <w:t>may be</w:t>
      </w:r>
      <w:r w:rsidR="00D74F08" w:rsidRPr="00FC6630">
        <w:t xml:space="preserve"> </w:t>
      </w:r>
      <w:r w:rsidR="00446162" w:rsidRPr="00FC6630">
        <w:t xml:space="preserve">required for export of specimens overseas. There may be import requirements for the receiving country. </w:t>
      </w:r>
      <w:r w:rsidR="00D74F08">
        <w:t>S</w:t>
      </w:r>
      <w:r w:rsidR="00DA7928" w:rsidRPr="00FC6630">
        <w:t>tate</w:t>
      </w:r>
      <w:r w:rsidR="005A7F34" w:rsidRPr="00FC6630">
        <w:t xml:space="preserve"> </w:t>
      </w:r>
      <w:r w:rsidR="00224159" w:rsidRPr="00FC6630">
        <w:t>and</w:t>
      </w:r>
      <w:r w:rsidR="005A7F34" w:rsidRPr="00FC6630">
        <w:t xml:space="preserve"> </w:t>
      </w:r>
      <w:r w:rsidR="00DA7928" w:rsidRPr="00FC6630">
        <w:t>territory</w:t>
      </w:r>
      <w:r w:rsidR="00446162" w:rsidRPr="00B47EA3">
        <w:t xml:space="preserve"> government laborator</w:t>
      </w:r>
      <w:r w:rsidR="00224159">
        <w:t>ies</w:t>
      </w:r>
      <w:r w:rsidR="00D74F08">
        <w:t xml:space="preserve">, and </w:t>
      </w:r>
      <w:r w:rsidR="00446162" w:rsidRPr="00B47EA3">
        <w:t xml:space="preserve">the Australian Government Department of the Environment and Energy </w:t>
      </w:r>
      <w:r w:rsidR="00D74F08">
        <w:t>can provide</w:t>
      </w:r>
      <w:r w:rsidR="00446162">
        <w:t xml:space="preserve"> </w:t>
      </w:r>
      <w:r w:rsidR="00446162" w:rsidRPr="00B47EA3">
        <w:t>more information</w:t>
      </w:r>
      <w:r w:rsidR="00446162">
        <w:t>.</w:t>
      </w:r>
      <w:r w:rsidR="006C2737">
        <w:t xml:space="preserve"> The Australian </w:t>
      </w:r>
      <w:r w:rsidR="00D74F08">
        <w:t>G</w:t>
      </w:r>
      <w:r w:rsidR="006C2737">
        <w:t>overnment i</w:t>
      </w:r>
      <w:r w:rsidR="00E3446A">
        <w:t>s likely to take the lead</w:t>
      </w:r>
      <w:r w:rsidR="006C2737">
        <w:t xml:space="preserve"> </w:t>
      </w:r>
      <w:r w:rsidR="00E3446A">
        <w:t>when</w:t>
      </w:r>
      <w:r w:rsidR="0027253E">
        <w:t xml:space="preserve"> </w:t>
      </w:r>
      <w:r w:rsidR="006C2737" w:rsidRPr="00926991">
        <w:t>samples</w:t>
      </w:r>
      <w:r w:rsidR="00E3446A">
        <w:t xml:space="preserve"> are to be shipped</w:t>
      </w:r>
      <w:r w:rsidR="006C2737" w:rsidRPr="00926991">
        <w:t xml:space="preserve"> overseas during an EWD response.</w:t>
      </w:r>
    </w:p>
    <w:p w14:paraId="14C2D99C" w14:textId="0F0F8FA8" w:rsidR="00855998" w:rsidRDefault="00855998" w:rsidP="00766FF7">
      <w:pPr>
        <w:rPr>
          <w:color w:val="0070C0"/>
          <w:u w:val="single"/>
        </w:rPr>
      </w:pPr>
      <w:r w:rsidRPr="00926991">
        <w:t xml:space="preserve">The Resources section </w:t>
      </w:r>
      <w:r w:rsidR="008763CE">
        <w:t>of the WHA</w:t>
      </w:r>
      <w:r w:rsidR="00145B4A" w:rsidRPr="00926991">
        <w:t xml:space="preserve"> website </w:t>
      </w:r>
      <w:r w:rsidR="004E2C0D" w:rsidRPr="00926991">
        <w:t>contains</w:t>
      </w:r>
      <w:r w:rsidRPr="00926991">
        <w:t xml:space="preserve"> a number of </w:t>
      </w:r>
      <w:r w:rsidR="004E2C0D" w:rsidRPr="00926991">
        <w:t>relevant documents</w:t>
      </w:r>
      <w:r w:rsidR="00D74F08">
        <w:t>.</w:t>
      </w:r>
      <w:r w:rsidR="00D74F08">
        <w:rPr>
          <w:rStyle w:val="FootnoteReference"/>
        </w:rPr>
        <w:footnoteReference w:id="6"/>
      </w:r>
      <w:r w:rsidR="00926991">
        <w:t xml:space="preserve"> </w:t>
      </w:r>
    </w:p>
    <w:p w14:paraId="07711C83" w14:textId="066C2C19" w:rsidR="00362E40" w:rsidRDefault="00A66BEF" w:rsidP="00362E40">
      <w:pPr>
        <w:pStyle w:val="Heading2"/>
      </w:pPr>
      <w:bookmarkStart w:id="22" w:name="_Toc529783754"/>
      <w:r>
        <w:t>2.2</w:t>
      </w:r>
      <w:r>
        <w:tab/>
      </w:r>
      <w:r w:rsidR="00362E40">
        <w:t>Nonlegislative arrangements</w:t>
      </w:r>
      <w:bookmarkEnd w:id="22"/>
    </w:p>
    <w:p w14:paraId="698290C6" w14:textId="1A784C63" w:rsidR="00362E40" w:rsidRDefault="00A66BEF" w:rsidP="00362E40">
      <w:pPr>
        <w:pStyle w:val="Heading3"/>
      </w:pPr>
      <w:bookmarkStart w:id="23" w:name="_Toc529783755"/>
      <w:bookmarkStart w:id="24" w:name="_Toc505692703"/>
      <w:bookmarkStart w:id="25" w:name="_Hlk508733479"/>
      <w:r>
        <w:t>2</w:t>
      </w:r>
      <w:r w:rsidR="00362E40">
        <w:t>.2.1</w:t>
      </w:r>
      <w:r w:rsidR="00362E40">
        <w:tab/>
        <w:t>AUSVETPLAN</w:t>
      </w:r>
      <w:bookmarkEnd w:id="23"/>
    </w:p>
    <w:p w14:paraId="50F8E8A6" w14:textId="3224C495" w:rsidR="00362E40" w:rsidRDefault="00362E40" w:rsidP="00362E40">
      <w:r w:rsidRPr="004A21B1">
        <w:t xml:space="preserve">The purpose of AUSVETPLAN is to ensure coherent operations and procedures among national, state and territory animal health authorities, and emergency management organisations in the management of an </w:t>
      </w:r>
      <w:r w:rsidR="00D74F08">
        <w:t>emergency animal disease (</w:t>
      </w:r>
      <w:r w:rsidRPr="004A21B1">
        <w:t>EAD</w:t>
      </w:r>
      <w:r w:rsidR="00D74F08">
        <w:t>)</w:t>
      </w:r>
      <w:r w:rsidRPr="004A21B1">
        <w:t>.</w:t>
      </w:r>
    </w:p>
    <w:p w14:paraId="780217A5" w14:textId="01FB5D89" w:rsidR="00362E40" w:rsidRDefault="00D74F08" w:rsidP="00362E40">
      <w:r>
        <w:t xml:space="preserve">Some </w:t>
      </w:r>
      <w:r w:rsidR="00362E40">
        <w:t xml:space="preserve">AUSVETPLAN manuals and strategies may be relevant to an EWD response. </w:t>
      </w:r>
      <w:r>
        <w:t>I</w:t>
      </w:r>
      <w:r w:rsidR="00362E40">
        <w:t xml:space="preserve">f the EWD is listed under the </w:t>
      </w:r>
      <w:r>
        <w:t>Emergency Animal Disease Response Agreement (</w:t>
      </w:r>
      <w:r w:rsidR="00362E40">
        <w:t>EADRA</w:t>
      </w:r>
      <w:r>
        <w:t xml:space="preserve">), </w:t>
      </w:r>
      <w:r w:rsidR="00362E40">
        <w:t xml:space="preserve">the relevant disease strategy and supporting documents will provide guidance for the response. </w:t>
      </w:r>
    </w:p>
    <w:p w14:paraId="03521200" w14:textId="79EEAE23" w:rsidR="00362E40" w:rsidRDefault="00362E40" w:rsidP="00362E40">
      <w:pPr>
        <w:pStyle w:val="NormalBeforeBullet"/>
      </w:pPr>
      <w:r>
        <w:t>The AUSVETPLAN manuals that are likely to contain information and advice that is relevant to an EWD response are:</w:t>
      </w:r>
      <w:r w:rsidR="008200E0">
        <w:rPr>
          <w:rStyle w:val="FootnoteReference"/>
        </w:rPr>
        <w:footnoteReference w:id="7"/>
      </w:r>
    </w:p>
    <w:p w14:paraId="7E89439E" w14:textId="039DF359" w:rsidR="00362E40" w:rsidRPr="00862003" w:rsidRDefault="00D74F08" w:rsidP="00362E40">
      <w:pPr>
        <w:pStyle w:val="Bullet"/>
      </w:pPr>
      <w:r w:rsidRPr="00862003">
        <w:t>o</w:t>
      </w:r>
      <w:r w:rsidR="00362E40" w:rsidRPr="00862003">
        <w:t xml:space="preserve">perational </w:t>
      </w:r>
      <w:r w:rsidRPr="00862003">
        <w:t>m</w:t>
      </w:r>
      <w:r w:rsidR="00362E40" w:rsidRPr="00862003">
        <w:t xml:space="preserve">anuals such as </w:t>
      </w:r>
      <w:r w:rsidR="00362E40" w:rsidRPr="00862003">
        <w:rPr>
          <w:i/>
        </w:rPr>
        <w:t>Decontamination</w:t>
      </w:r>
      <w:r w:rsidR="00362E40" w:rsidRPr="00862003">
        <w:t xml:space="preserve"> and </w:t>
      </w:r>
      <w:r w:rsidR="00362E40" w:rsidRPr="00862003">
        <w:rPr>
          <w:i/>
        </w:rPr>
        <w:t xml:space="preserve">Disposal </w:t>
      </w:r>
      <w:r w:rsidR="00862003" w:rsidRPr="00862003">
        <w:rPr>
          <w:i/>
        </w:rPr>
        <w:t>procedures</w:t>
      </w:r>
    </w:p>
    <w:p w14:paraId="72F3F863" w14:textId="3B924E14" w:rsidR="00362E40" w:rsidRPr="00862003" w:rsidRDefault="00D74F08" w:rsidP="00362E40">
      <w:pPr>
        <w:pStyle w:val="Bullet"/>
      </w:pPr>
      <w:r w:rsidRPr="00862003">
        <w:lastRenderedPageBreak/>
        <w:t>m</w:t>
      </w:r>
      <w:r w:rsidR="00362E40" w:rsidRPr="00862003">
        <w:t xml:space="preserve">anagement </w:t>
      </w:r>
      <w:r w:rsidRPr="00862003">
        <w:t>m</w:t>
      </w:r>
      <w:r w:rsidR="00362E40" w:rsidRPr="00862003">
        <w:t>anuals</w:t>
      </w:r>
      <w:r w:rsidRPr="00862003">
        <w:t>,</w:t>
      </w:r>
      <w:r w:rsidR="00362E40" w:rsidRPr="00862003">
        <w:t xml:space="preserve"> including the </w:t>
      </w:r>
      <w:r w:rsidR="00362E40" w:rsidRPr="00862003">
        <w:rPr>
          <w:i/>
        </w:rPr>
        <w:t xml:space="preserve">Control </w:t>
      </w:r>
      <w:r w:rsidR="00862003" w:rsidRPr="00862003">
        <w:rPr>
          <w:i/>
        </w:rPr>
        <w:t>c</w:t>
      </w:r>
      <w:r w:rsidR="00362E40" w:rsidRPr="00862003">
        <w:rPr>
          <w:i/>
        </w:rPr>
        <w:t>entre</w:t>
      </w:r>
      <w:r w:rsidRPr="00862003">
        <w:rPr>
          <w:i/>
        </w:rPr>
        <w:t>s</w:t>
      </w:r>
      <w:r w:rsidR="00362E40" w:rsidRPr="00862003">
        <w:rPr>
          <w:i/>
        </w:rPr>
        <w:t xml:space="preserve"> </w:t>
      </w:r>
      <w:r w:rsidR="00862003" w:rsidRPr="00862003">
        <w:rPr>
          <w:i/>
        </w:rPr>
        <w:t>m</w:t>
      </w:r>
      <w:r w:rsidR="00362E40" w:rsidRPr="00862003">
        <w:rPr>
          <w:i/>
        </w:rPr>
        <w:t xml:space="preserve">anagement </w:t>
      </w:r>
      <w:r w:rsidR="00862003" w:rsidRPr="00862003">
        <w:rPr>
          <w:i/>
        </w:rPr>
        <w:t>m</w:t>
      </w:r>
      <w:r w:rsidRPr="00862003">
        <w:rPr>
          <w:i/>
        </w:rPr>
        <w:t>anual</w:t>
      </w:r>
      <w:r w:rsidRPr="00862003">
        <w:t xml:space="preserve"> (</w:t>
      </w:r>
      <w:r w:rsidR="00362E40" w:rsidRPr="00862003">
        <w:t>Parts 1 and 2</w:t>
      </w:r>
      <w:r w:rsidRPr="00862003">
        <w:t>)</w:t>
      </w:r>
    </w:p>
    <w:p w14:paraId="148CE5C7" w14:textId="00353CE0" w:rsidR="00362E40" w:rsidRPr="00862003" w:rsidRDefault="00D74F08" w:rsidP="00362E40">
      <w:pPr>
        <w:pStyle w:val="Bullet"/>
      </w:pPr>
      <w:r w:rsidRPr="00862003">
        <w:t>g</w:t>
      </w:r>
      <w:r w:rsidR="00362E40" w:rsidRPr="00862003">
        <w:t xml:space="preserve">uidance </w:t>
      </w:r>
      <w:r w:rsidRPr="00862003">
        <w:t>d</w:t>
      </w:r>
      <w:r w:rsidR="00362E40" w:rsidRPr="00862003">
        <w:t>ocuments</w:t>
      </w:r>
      <w:r w:rsidRPr="00862003">
        <w:t>,</w:t>
      </w:r>
      <w:r w:rsidR="00362E40" w:rsidRPr="00862003">
        <w:t xml:space="preserve"> such as those providing guidance on declared areas and premise</w:t>
      </w:r>
      <w:r w:rsidRPr="00862003">
        <w:t>s</w:t>
      </w:r>
      <w:r w:rsidR="00362E40" w:rsidRPr="00862003">
        <w:t xml:space="preserve"> classification</w:t>
      </w:r>
      <w:r w:rsidRPr="00862003">
        <w:t>s</w:t>
      </w:r>
      <w:r w:rsidR="00362E40" w:rsidRPr="00862003">
        <w:t xml:space="preserve">, </w:t>
      </w:r>
      <w:r w:rsidRPr="00862003">
        <w:t xml:space="preserve">and </w:t>
      </w:r>
      <w:r w:rsidR="00362E40" w:rsidRPr="00862003">
        <w:t>risk-based assessment of disease control options for rare and valuable animals</w:t>
      </w:r>
    </w:p>
    <w:p w14:paraId="7C57C7D9" w14:textId="5AFEA3B0" w:rsidR="00362E40" w:rsidRPr="00862003" w:rsidRDefault="00D74F08" w:rsidP="00230CCC">
      <w:pPr>
        <w:pStyle w:val="BulletLast"/>
      </w:pPr>
      <w:r w:rsidRPr="00862003">
        <w:t>r</w:t>
      </w:r>
      <w:r w:rsidR="00362E40" w:rsidRPr="00862003">
        <w:t xml:space="preserve">esource </w:t>
      </w:r>
      <w:r w:rsidRPr="00862003">
        <w:t>d</w:t>
      </w:r>
      <w:r w:rsidR="00362E40" w:rsidRPr="00862003">
        <w:t>ocuments</w:t>
      </w:r>
      <w:r w:rsidR="008200E0" w:rsidRPr="00862003">
        <w:t>,</w:t>
      </w:r>
      <w:r w:rsidR="00362E40" w:rsidRPr="00862003">
        <w:t xml:space="preserve"> including those relating to </w:t>
      </w:r>
      <w:r w:rsidR="008200E0" w:rsidRPr="00862003">
        <w:t>c</w:t>
      </w:r>
      <w:r w:rsidR="00362E40" w:rsidRPr="00862003">
        <w:t xml:space="preserve">ommunication and </w:t>
      </w:r>
      <w:r w:rsidR="008200E0" w:rsidRPr="00862003">
        <w:t>p</w:t>
      </w:r>
      <w:r w:rsidR="00362E40" w:rsidRPr="00862003">
        <w:t xml:space="preserve">ublic </w:t>
      </w:r>
      <w:r w:rsidR="008200E0" w:rsidRPr="00862003">
        <w:t>i</w:t>
      </w:r>
      <w:r w:rsidR="00362E40" w:rsidRPr="00862003">
        <w:t>nformation.</w:t>
      </w:r>
    </w:p>
    <w:p w14:paraId="1B09E36C" w14:textId="4B6495AA" w:rsidR="00362E40" w:rsidRPr="00454C2B" w:rsidRDefault="00A66BEF" w:rsidP="00362E40">
      <w:pPr>
        <w:pStyle w:val="Heading3"/>
      </w:pPr>
      <w:bookmarkStart w:id="26" w:name="_Toc529783756"/>
      <w:r>
        <w:t>2</w:t>
      </w:r>
      <w:r w:rsidR="00362E40">
        <w:t>.2.2</w:t>
      </w:r>
      <w:r w:rsidR="00362E40">
        <w:tab/>
      </w:r>
      <w:r w:rsidR="008200E0" w:rsidRPr="002649A0">
        <w:t>National Environmental Biosecurity Response Agreement</w:t>
      </w:r>
      <w:bookmarkEnd w:id="24"/>
      <w:bookmarkEnd w:id="26"/>
    </w:p>
    <w:p w14:paraId="458C7E60" w14:textId="6CCE7E2F" w:rsidR="00220C2E" w:rsidRPr="00EC0D05" w:rsidRDefault="00362E40" w:rsidP="00362E40">
      <w:r w:rsidRPr="00EC0D05">
        <w:t xml:space="preserve">The National Environmental Biosecurity Response Agreement (NEBRA) </w:t>
      </w:r>
      <w:r w:rsidR="00220C2E" w:rsidRPr="00EC0D05">
        <w:t xml:space="preserve">is a partnership between the Australian Government and the states and territories. The NEBRA establishes a framework for national response arrangements to be applied by agreement of the parties where there are no pre-existing arrangements. It </w:t>
      </w:r>
      <w:r w:rsidRPr="00EC0D05">
        <w:t xml:space="preserve">establishes national arrangements for responses to nationally significant biosecurity incidents </w:t>
      </w:r>
      <w:r w:rsidR="00220C2E" w:rsidRPr="00EC0D05">
        <w:t xml:space="preserve">for which the response </w:t>
      </w:r>
      <w:r w:rsidRPr="00EC0D05">
        <w:t xml:space="preserve">predominantly </w:t>
      </w:r>
      <w:r w:rsidR="00220C2E" w:rsidRPr="00EC0D05">
        <w:t xml:space="preserve">has </w:t>
      </w:r>
      <w:r w:rsidRPr="00EC0D05">
        <w:t xml:space="preserve">public benefits. </w:t>
      </w:r>
    </w:p>
    <w:p w14:paraId="65666C71" w14:textId="6A63919E" w:rsidR="00362E40" w:rsidRPr="00EC0D05" w:rsidRDefault="00220C2E" w:rsidP="00362E40">
      <w:r w:rsidRPr="00EC0D05">
        <w:t>The NEBRA</w:t>
      </w:r>
      <w:r w:rsidR="00362E40" w:rsidRPr="00EC0D05">
        <w:t xml:space="preserve"> is likely to be the primary reference for an EWD response. The requirements and processes of the NEBRA have been put into a response context in the</w:t>
      </w:r>
      <w:r w:rsidRPr="00EC0D05">
        <w:t>se</w:t>
      </w:r>
      <w:r w:rsidR="00362E40" w:rsidRPr="00EC0D05">
        <w:t xml:space="preserve"> </w:t>
      </w:r>
      <w:r w:rsidRPr="00EC0D05">
        <w:t>g</w:t>
      </w:r>
      <w:r w:rsidR="00362E40" w:rsidRPr="00EC0D05">
        <w:t>uidelines. The</w:t>
      </w:r>
      <w:r w:rsidRPr="00EC0D05">
        <w:t>se</w:t>
      </w:r>
      <w:r w:rsidR="00362E40" w:rsidRPr="00EC0D05">
        <w:t xml:space="preserve"> </w:t>
      </w:r>
      <w:r w:rsidRPr="00EC0D05">
        <w:t>g</w:t>
      </w:r>
      <w:r w:rsidR="00362E40" w:rsidRPr="00EC0D05">
        <w:t>uidelines are not a substitute for a detailed knowledge of the NEBRA.</w:t>
      </w:r>
    </w:p>
    <w:p w14:paraId="78CB7ED8" w14:textId="54A3C7BB" w:rsidR="00362E40" w:rsidRPr="00EC0D05" w:rsidRDefault="00362E40" w:rsidP="00362E40">
      <w:r w:rsidRPr="00EC0D05">
        <w:t xml:space="preserve">The presence of a suspect EWD should trigger initiation and completion of actions </w:t>
      </w:r>
      <w:r w:rsidR="00220C2E" w:rsidRPr="00EC0D05">
        <w:t xml:space="preserve">under these guidelines </w:t>
      </w:r>
      <w:r w:rsidRPr="00EC0D05">
        <w:t xml:space="preserve">until a decision is made on the applicability of the NEBRA. </w:t>
      </w:r>
    </w:p>
    <w:p w14:paraId="4A90012E" w14:textId="04BAEFE3" w:rsidR="00362E40" w:rsidRPr="00EC0D05" w:rsidRDefault="00220C2E" w:rsidP="00362E40">
      <w:r w:rsidRPr="00EC0D05">
        <w:t xml:space="preserve">The </w:t>
      </w:r>
      <w:r w:rsidR="00362E40" w:rsidRPr="00EC0D05">
        <w:t>NEBRA does not displace or replace the operation of any of the related biosecurity arrangements, including those for cost</w:t>
      </w:r>
      <w:r w:rsidR="00EC0D05">
        <w:t xml:space="preserve"> </w:t>
      </w:r>
      <w:r w:rsidR="00362E40" w:rsidRPr="00EC0D05">
        <w:t>sharing under pre-existing arrangements</w:t>
      </w:r>
      <w:r w:rsidR="00EC0D05">
        <w:t>,</w:t>
      </w:r>
      <w:r w:rsidR="00362E40" w:rsidRPr="00EC0D05">
        <w:t xml:space="preserve"> such as those for emergency pests and diseases of production animals and plants.</w:t>
      </w:r>
    </w:p>
    <w:p w14:paraId="1765798C" w14:textId="740DABEA" w:rsidR="00362E40" w:rsidRPr="00EC0D05" w:rsidRDefault="00362E40" w:rsidP="00362E40">
      <w:r w:rsidRPr="00EC0D05">
        <w:t xml:space="preserve">The NEBRA applies only </w:t>
      </w:r>
      <w:r w:rsidR="00EC0D05">
        <w:t>to</w:t>
      </w:r>
      <w:r w:rsidR="00EC0D05" w:rsidRPr="00EC0D05">
        <w:t xml:space="preserve"> </w:t>
      </w:r>
      <w:r w:rsidRPr="00EC0D05">
        <w:t xml:space="preserve">response activities. It does not apply </w:t>
      </w:r>
      <w:r w:rsidR="00EC0D05">
        <w:t>to</w:t>
      </w:r>
      <w:r w:rsidRPr="00EC0D05">
        <w:t xml:space="preserve"> recovery actions. </w:t>
      </w:r>
    </w:p>
    <w:p w14:paraId="2BB05626" w14:textId="4B891C6E" w:rsidR="00220C2E" w:rsidRPr="00EC0D05" w:rsidRDefault="00220C2E" w:rsidP="00220C2E">
      <w:pPr>
        <w:pStyle w:val="Heading4"/>
      </w:pPr>
      <w:r w:rsidRPr="00EC0D05">
        <w:t>Cost sharing</w:t>
      </w:r>
    </w:p>
    <w:p w14:paraId="5396FCC0" w14:textId="6C795874" w:rsidR="00220C2E" w:rsidRPr="00EC0D05" w:rsidRDefault="00220C2E" w:rsidP="00220C2E">
      <w:r w:rsidRPr="00EC0D05">
        <w:t>The NEBRA provides a basis for the sharing of costs between the signatory parties. It also provides opportunities for private beneficiaries to become involved in a response.</w:t>
      </w:r>
    </w:p>
    <w:p w14:paraId="13BDC4C9" w14:textId="5CE89B92" w:rsidR="00220C2E" w:rsidRPr="00EC0D05" w:rsidRDefault="00220C2E" w:rsidP="00220C2E">
      <w:r w:rsidRPr="00EC0D05">
        <w:t>Under the NEBRA, initial response actions are funded by the affected state or territory, which may request reimbursement of eligible costs by the cost-sharing parties. Reimbursement of costs is subject to the response being determined to meet the criteria for funding in the NEBRA.</w:t>
      </w:r>
    </w:p>
    <w:p w14:paraId="72331D0C" w14:textId="365645E9" w:rsidR="00220C2E" w:rsidRPr="00EC0D05" w:rsidRDefault="00220C2E" w:rsidP="00220C2E">
      <w:pPr>
        <w:rPr>
          <w:color w:val="000000" w:themeColor="text1"/>
        </w:rPr>
      </w:pPr>
      <w:r w:rsidRPr="00F63787">
        <w:rPr>
          <w:color w:val="000000" w:themeColor="text1"/>
        </w:rPr>
        <w:t>S</w:t>
      </w:r>
      <w:r w:rsidR="00224DF1">
        <w:rPr>
          <w:color w:val="000000" w:themeColor="text1"/>
        </w:rPr>
        <w:t>chedule 3 of the NEBRA</w:t>
      </w:r>
      <w:r w:rsidRPr="00EC0D05">
        <w:rPr>
          <w:color w:val="000000" w:themeColor="text1"/>
        </w:rPr>
        <w:t xml:space="preserve"> detail</w:t>
      </w:r>
      <w:r w:rsidR="00EC0D05">
        <w:rPr>
          <w:color w:val="000000" w:themeColor="text1"/>
        </w:rPr>
        <w:t>s</w:t>
      </w:r>
      <w:r w:rsidRPr="00EC0D05">
        <w:rPr>
          <w:color w:val="000000" w:themeColor="text1"/>
        </w:rPr>
        <w:t xml:space="preserve"> the criteria that must be considered to determine funding eligibility.</w:t>
      </w:r>
    </w:p>
    <w:p w14:paraId="0966C6AC" w14:textId="36BABE6B" w:rsidR="00362E40" w:rsidRPr="005C16B5" w:rsidRDefault="00362E40" w:rsidP="00362E40">
      <w:pPr>
        <w:pStyle w:val="Heading4"/>
      </w:pPr>
      <w:r w:rsidRPr="005C16B5">
        <w:t>Category classification of EWDs</w:t>
      </w:r>
    </w:p>
    <w:p w14:paraId="46E069E8" w14:textId="10CB876E" w:rsidR="00362E40" w:rsidRDefault="00362E40" w:rsidP="00362E40">
      <w:r>
        <w:t>Under the NEBRA</w:t>
      </w:r>
      <w:r w:rsidR="00EC0D05">
        <w:t>,</w:t>
      </w:r>
      <w:r>
        <w:t xml:space="preserve"> there is no category classification of pests and disease</w:t>
      </w:r>
      <w:r w:rsidR="00EC0D05">
        <w:t>s</w:t>
      </w:r>
      <w:r>
        <w:t xml:space="preserve"> as there is for EADs under the EADRA.</w:t>
      </w:r>
    </w:p>
    <w:p w14:paraId="2A4BD6AE" w14:textId="1F520BD2" w:rsidR="00362E40" w:rsidRDefault="00362E40" w:rsidP="00362E40">
      <w:r w:rsidRPr="00FC6630">
        <w:t>Where the EWD is determined to be a listed EAD under the EADRA</w:t>
      </w:r>
      <w:r w:rsidR="00EC0D05">
        <w:t xml:space="preserve">, </w:t>
      </w:r>
      <w:r w:rsidRPr="00FC6630">
        <w:t xml:space="preserve">the relevant </w:t>
      </w:r>
      <w:r w:rsidR="00EC0D05">
        <w:t>c</w:t>
      </w:r>
      <w:r w:rsidRPr="00FC6630">
        <w:t>ategory (1 to 4) will apply</w:t>
      </w:r>
      <w:r w:rsidR="00F63787">
        <w:t>,</w:t>
      </w:r>
      <w:r w:rsidRPr="00FC6630">
        <w:t xml:space="preserve"> and the response will be managed under the EADRA rather than the NEBRA</w:t>
      </w:r>
      <w:r w:rsidRPr="00067884">
        <w:t>.</w:t>
      </w:r>
      <w:r w:rsidRPr="00FC6630">
        <w:t xml:space="preserve"> See </w:t>
      </w:r>
      <w:r w:rsidR="00EC0D05">
        <w:t xml:space="preserve">the </w:t>
      </w:r>
      <w:r w:rsidRPr="00FC6630">
        <w:t>EADRA</w:t>
      </w:r>
      <w:r w:rsidR="00EC0D05">
        <w:rPr>
          <w:rStyle w:val="FootnoteReference"/>
        </w:rPr>
        <w:footnoteReference w:id="8"/>
      </w:r>
      <w:r>
        <w:t xml:space="preserve"> for details on the category classification of EADs.</w:t>
      </w:r>
    </w:p>
    <w:p w14:paraId="174998AE" w14:textId="533A8C47" w:rsidR="00362E40" w:rsidRPr="00184120" w:rsidRDefault="00A66BEF" w:rsidP="00362E40">
      <w:pPr>
        <w:pStyle w:val="Heading3"/>
      </w:pPr>
      <w:bookmarkStart w:id="27" w:name="_Toc529783757"/>
      <w:bookmarkEnd w:id="25"/>
      <w:r>
        <w:lastRenderedPageBreak/>
        <w:t>2</w:t>
      </w:r>
      <w:r w:rsidR="00BD560A">
        <w:t>.2.3</w:t>
      </w:r>
      <w:r w:rsidR="00362E40">
        <w:tab/>
        <w:t>Plans</w:t>
      </w:r>
      <w:bookmarkEnd w:id="27"/>
    </w:p>
    <w:p w14:paraId="7D730820" w14:textId="7AA3589F" w:rsidR="00362E40" w:rsidRPr="00820C15" w:rsidRDefault="00362E40" w:rsidP="00362E40">
      <w:r w:rsidRPr="00820C15">
        <w:t>EWD</w:t>
      </w:r>
      <w:r w:rsidR="00EC0D05">
        <w:t>-</w:t>
      </w:r>
      <w:r w:rsidRPr="00820C15">
        <w:t xml:space="preserve">specific plans are developed </w:t>
      </w:r>
      <w:r>
        <w:t>as needed</w:t>
      </w:r>
      <w:r w:rsidRPr="00820C15">
        <w:t xml:space="preserve">. The </w:t>
      </w:r>
      <w:r>
        <w:t xml:space="preserve">two </w:t>
      </w:r>
      <w:r w:rsidRPr="00820C15">
        <w:t>plan</w:t>
      </w:r>
      <w:r w:rsidRPr="00B56CD9">
        <w:t>s currently available (</w:t>
      </w:r>
      <w:r w:rsidRPr="00B56CD9">
        <w:rPr>
          <w:i/>
        </w:rPr>
        <w:t xml:space="preserve">Disease </w:t>
      </w:r>
      <w:r w:rsidR="00B56CD9">
        <w:rPr>
          <w:i/>
        </w:rPr>
        <w:t>s</w:t>
      </w:r>
      <w:r w:rsidRPr="00B56CD9">
        <w:rPr>
          <w:i/>
        </w:rPr>
        <w:t>trategy</w:t>
      </w:r>
      <w:r w:rsidR="00B56CD9" w:rsidRPr="00B56CD9">
        <w:rPr>
          <w:i/>
        </w:rPr>
        <w:t>: c</w:t>
      </w:r>
      <w:r w:rsidRPr="00B56CD9">
        <w:rPr>
          <w:i/>
        </w:rPr>
        <w:t>hytridiomycosi</w:t>
      </w:r>
      <w:r w:rsidR="00B56CD9">
        <w:rPr>
          <w:i/>
        </w:rPr>
        <w:t xml:space="preserve">s </w:t>
      </w:r>
      <w:r w:rsidR="00F63787">
        <w:rPr>
          <w:i/>
        </w:rPr>
        <w:t>[</w:t>
      </w:r>
      <w:r w:rsidR="00B56CD9">
        <w:rPr>
          <w:i/>
        </w:rPr>
        <w:t xml:space="preserve">infection with </w:t>
      </w:r>
      <w:r w:rsidR="00B56CD9" w:rsidRPr="00480A95">
        <w:t>Batrachochytrium dendrobatidis</w:t>
      </w:r>
      <w:r w:rsidR="00F63787">
        <w:rPr>
          <w:i/>
        </w:rPr>
        <w:t>]</w:t>
      </w:r>
      <w:r w:rsidR="00B56CD9" w:rsidRPr="00B56CD9">
        <w:rPr>
          <w:rStyle w:val="FootnoteReference"/>
        </w:rPr>
        <w:footnoteReference w:id="9"/>
      </w:r>
      <w:r w:rsidRPr="00B56CD9">
        <w:t xml:space="preserve"> and </w:t>
      </w:r>
      <w:r w:rsidRPr="00B56CD9">
        <w:rPr>
          <w:i/>
        </w:rPr>
        <w:t>White-nose</w:t>
      </w:r>
      <w:r w:rsidR="00B56CD9" w:rsidRPr="00B56CD9">
        <w:rPr>
          <w:i/>
        </w:rPr>
        <w:t xml:space="preserve"> syndrome response guid</w:t>
      </w:r>
      <w:r w:rsidRPr="00B56CD9">
        <w:rPr>
          <w:i/>
        </w:rPr>
        <w:t>elines</w:t>
      </w:r>
      <w:r w:rsidR="00B56CD9" w:rsidRPr="00B56CD9">
        <w:rPr>
          <w:rStyle w:val="FootnoteReference"/>
        </w:rPr>
        <w:footnoteReference w:id="10"/>
      </w:r>
      <w:r w:rsidRPr="00B56CD9">
        <w:t>),</w:t>
      </w:r>
      <w:r>
        <w:t xml:space="preserve"> have not</w:t>
      </w:r>
      <w:r w:rsidR="00EC0D05">
        <w:t xml:space="preserve"> yet </w:t>
      </w:r>
      <w:r>
        <w:t>been through the formal process for approval and endorsement under the AUSVETPLAN framework</w:t>
      </w:r>
      <w:r w:rsidRPr="00820C15">
        <w:t>.</w:t>
      </w:r>
      <w:r>
        <w:t xml:space="preserve"> Responsibility for the ongoing maintenance and curation of EWD</w:t>
      </w:r>
      <w:r w:rsidR="00EC0D05">
        <w:t>-</w:t>
      </w:r>
      <w:r>
        <w:t>specific plans is yet to be agreed.</w:t>
      </w:r>
      <w:r w:rsidRPr="00820C15">
        <w:t xml:space="preserve"> </w:t>
      </w:r>
    </w:p>
    <w:p w14:paraId="771E9348" w14:textId="433EFF3F" w:rsidR="00362E40" w:rsidRPr="00A23EDA" w:rsidRDefault="00362E40" w:rsidP="00EC0D05">
      <w:pPr>
        <w:rPr>
          <w:szCs w:val="24"/>
        </w:rPr>
      </w:pPr>
      <w:r>
        <w:t xml:space="preserve">Wildlife health partners such as zoos, private collections and conservation areas may have plans for EWDs that </w:t>
      </w:r>
      <w:r w:rsidR="00EC0D05">
        <w:t xml:space="preserve">could </w:t>
      </w:r>
      <w:r>
        <w:t>affect their enterprise.</w:t>
      </w:r>
      <w:r w:rsidR="00EC0D05">
        <w:rPr>
          <w:rStyle w:val="FootnoteReference"/>
        </w:rPr>
        <w:footnoteReference w:id="11"/>
      </w:r>
      <w:r>
        <w:t xml:space="preserve"> Response managers should ensure </w:t>
      </w:r>
      <w:r w:rsidR="00EC0D05">
        <w:t xml:space="preserve">that </w:t>
      </w:r>
      <w:r>
        <w:t xml:space="preserve">partners are given every opportunity to enact their plans within the scope of a given response. </w:t>
      </w:r>
    </w:p>
    <w:p w14:paraId="6B052E95" w14:textId="388551CF" w:rsidR="00362E40" w:rsidRPr="00820C15" w:rsidRDefault="00A66BEF" w:rsidP="00362E40">
      <w:pPr>
        <w:pStyle w:val="Heading3"/>
      </w:pPr>
      <w:bookmarkStart w:id="28" w:name="_Toc529783758"/>
      <w:r>
        <w:t>2</w:t>
      </w:r>
      <w:r w:rsidR="00BD560A">
        <w:t>.2.4</w:t>
      </w:r>
      <w:r w:rsidR="00362E40">
        <w:tab/>
        <w:t xml:space="preserve">Policies and </w:t>
      </w:r>
      <w:r w:rsidR="00EC0D05">
        <w:t>s</w:t>
      </w:r>
      <w:r w:rsidR="00362E40" w:rsidRPr="00820C15">
        <w:t xml:space="preserve">tandard </w:t>
      </w:r>
      <w:r w:rsidR="00EC0D05">
        <w:t>o</w:t>
      </w:r>
      <w:r w:rsidR="00362E40" w:rsidRPr="00820C15">
        <w:t xml:space="preserve">perating </w:t>
      </w:r>
      <w:r w:rsidR="00EC0D05">
        <w:t>p</w:t>
      </w:r>
      <w:r w:rsidR="00362E40" w:rsidRPr="00820C15">
        <w:t>rocedures</w:t>
      </w:r>
      <w:bookmarkEnd w:id="28"/>
    </w:p>
    <w:p w14:paraId="40D90D07" w14:textId="6DA03E2D" w:rsidR="00362E40" w:rsidRDefault="00362E40" w:rsidP="00362E40">
      <w:r>
        <w:t xml:space="preserve">Policies and </w:t>
      </w:r>
      <w:r w:rsidR="00EC0D05">
        <w:t>s</w:t>
      </w:r>
      <w:r w:rsidR="00EC0D05" w:rsidRPr="00820C15">
        <w:t xml:space="preserve">tandard </w:t>
      </w:r>
      <w:r w:rsidR="00EC0D05">
        <w:t>o</w:t>
      </w:r>
      <w:r w:rsidR="00EC0D05" w:rsidRPr="00820C15">
        <w:t xml:space="preserve">perating </w:t>
      </w:r>
      <w:r w:rsidR="00EC0D05">
        <w:t>p</w:t>
      </w:r>
      <w:r w:rsidR="00EC0D05" w:rsidRPr="00820C15">
        <w:t>rocedures</w:t>
      </w:r>
      <w:r w:rsidR="00EC0D05">
        <w:t xml:space="preserve"> (</w:t>
      </w:r>
      <w:r>
        <w:t>SOPs</w:t>
      </w:r>
      <w:r w:rsidR="00EC0D05">
        <w:t>)</w:t>
      </w:r>
      <w:r>
        <w:t xml:space="preserve"> that may be relevant to an EWD are developed and maintained by state and territory agencies, the Australian Government and WHA. The state and territory policies and SOPs take precedence over any information in these </w:t>
      </w:r>
      <w:r w:rsidR="00EC0D05">
        <w:t>g</w:t>
      </w:r>
      <w:r>
        <w:t xml:space="preserve">uidelines. </w:t>
      </w:r>
    </w:p>
    <w:p w14:paraId="61D5ABF8" w14:textId="7D671D06" w:rsidR="00362E40" w:rsidRDefault="00362E40" w:rsidP="00362E40">
      <w:r>
        <w:t>The detailed procedures</w:t>
      </w:r>
      <w:r w:rsidR="00EC0D05">
        <w:t xml:space="preserve"> in SOPs,</w:t>
      </w:r>
      <w:r>
        <w:t xml:space="preserve"> along with supporting documentation such as risk assessments and plans</w:t>
      </w:r>
      <w:r w:rsidR="00EC0D05">
        <w:t>,</w:t>
      </w:r>
      <w:r>
        <w:t xml:space="preserve"> are typically maintained by the agency that normally undertakes the activi</w:t>
      </w:r>
      <w:r w:rsidR="00EC0D05">
        <w:t>ties</w:t>
      </w:r>
      <w:r>
        <w:t xml:space="preserve"> described in the documents. These agencies include primary industries </w:t>
      </w:r>
      <w:r w:rsidR="00EC0D05">
        <w:t>and</w:t>
      </w:r>
      <w:r>
        <w:t xml:space="preserve"> agriculture, the environment and human health. </w:t>
      </w:r>
    </w:p>
    <w:p w14:paraId="5D332E8C" w14:textId="28C1C637" w:rsidR="00362E40" w:rsidRDefault="00362E40" w:rsidP="00362E40">
      <w:r>
        <w:t xml:space="preserve">The following links provide access to some </w:t>
      </w:r>
      <w:r w:rsidRPr="00820C15">
        <w:t>SOPs</w:t>
      </w:r>
      <w:r>
        <w:t xml:space="preserve"> that may be relevant to response actions and tactics. </w:t>
      </w:r>
      <w:r w:rsidR="00EC0D05">
        <w:t>S</w:t>
      </w:r>
      <w:r>
        <w:t>tate and territor</w:t>
      </w:r>
      <w:r w:rsidR="00EC0D05">
        <w:t xml:space="preserve">y SOPs are </w:t>
      </w:r>
      <w:r>
        <w:t xml:space="preserve">not always published on the </w:t>
      </w:r>
      <w:r w:rsidR="00EC0D05">
        <w:t>internet</w:t>
      </w:r>
      <w:r>
        <w:t>.</w:t>
      </w:r>
    </w:p>
    <w:p w14:paraId="0F8D8874" w14:textId="77777777" w:rsidR="00362E40" w:rsidRPr="00CB3B75" w:rsidRDefault="00362E40" w:rsidP="00362E40">
      <w:pPr>
        <w:pStyle w:val="Heading4"/>
      </w:pPr>
      <w:r w:rsidRPr="00CB3B75">
        <w:t>WHA</w:t>
      </w:r>
    </w:p>
    <w:p w14:paraId="43B88A94" w14:textId="6439A8A7" w:rsidR="00362E40" w:rsidRPr="00CB3B75" w:rsidRDefault="00DB7859" w:rsidP="00362E40">
      <w:pPr>
        <w:pStyle w:val="Bullet"/>
      </w:pPr>
      <w:hyperlink r:id="rId12" w:history="1">
        <w:r w:rsidR="00CD32FB" w:rsidRPr="007D0869">
          <w:rPr>
            <w:rStyle w:val="Hyperlink"/>
          </w:rPr>
          <w:t>https://www.wildlifehealthaustralia.com.au/WHADocuments.aspx</w:t>
        </w:r>
      </w:hyperlink>
    </w:p>
    <w:p w14:paraId="5F89A5FD" w14:textId="198B99F7" w:rsidR="00CD32FB" w:rsidRPr="00CB3B75" w:rsidRDefault="00DB7859" w:rsidP="00CD32FB">
      <w:pPr>
        <w:pStyle w:val="BulletLast"/>
      </w:pPr>
      <w:hyperlink r:id="rId13" w:history="1">
        <w:r w:rsidR="00CD32FB" w:rsidRPr="007D0869">
          <w:rPr>
            <w:rStyle w:val="Hyperlink"/>
          </w:rPr>
          <w:t>https://www.wildlifehealthaustralia.com.au/Resources.aspx</w:t>
        </w:r>
      </w:hyperlink>
    </w:p>
    <w:p w14:paraId="0AE46304" w14:textId="6D34A0BB" w:rsidR="00362E40" w:rsidRPr="00CB3B75" w:rsidRDefault="00362E40" w:rsidP="00362E40">
      <w:pPr>
        <w:pStyle w:val="Heading4"/>
      </w:pPr>
      <w:r w:rsidRPr="00CB3B75">
        <w:t>National</w:t>
      </w:r>
      <w:r w:rsidR="00CB3B75">
        <w:t>ly</w:t>
      </w:r>
      <w:r w:rsidRPr="00CB3B75">
        <w:t xml:space="preserve"> </w:t>
      </w:r>
      <w:r w:rsidR="00CB3B75">
        <w:t>A</w:t>
      </w:r>
      <w:r w:rsidRPr="00CB3B75">
        <w:t>greed S</w:t>
      </w:r>
      <w:r w:rsidR="00CB3B75">
        <w:t>tandard Operating Procedures</w:t>
      </w:r>
    </w:p>
    <w:p w14:paraId="76B752C3" w14:textId="187036F1" w:rsidR="00362E40" w:rsidRPr="00CB3B75" w:rsidRDefault="00DB7859" w:rsidP="00230CCC">
      <w:pPr>
        <w:pStyle w:val="BulletLast"/>
        <w:rPr>
          <w:rStyle w:val="Hyperlink"/>
          <w:u w:val="none"/>
        </w:rPr>
      </w:pPr>
      <w:hyperlink r:id="rId14" w:history="1">
        <w:r w:rsidR="00CB3B75" w:rsidRPr="00770945">
          <w:rPr>
            <w:rStyle w:val="Hyperlink"/>
          </w:rPr>
          <w:t>www.agriculture.gov.au/biosecurity/partnerships/nbc/nbepeg/nasops</w:t>
        </w:r>
      </w:hyperlink>
    </w:p>
    <w:p w14:paraId="71EEF986" w14:textId="77777777" w:rsidR="00362E40" w:rsidRPr="00CB3B75" w:rsidRDefault="00362E40" w:rsidP="00362E40">
      <w:pPr>
        <w:pStyle w:val="Heading4"/>
      </w:pPr>
      <w:r w:rsidRPr="00CB3B75">
        <w:t>NSW Department of Primary Industries</w:t>
      </w:r>
    </w:p>
    <w:p w14:paraId="77E77F17" w14:textId="1009CBB7" w:rsidR="00362E40" w:rsidRPr="00CB3B75" w:rsidRDefault="00DB7859" w:rsidP="00230CCC">
      <w:pPr>
        <w:pStyle w:val="BulletLast"/>
        <w:rPr>
          <w:rStyle w:val="Hyperlink"/>
          <w:u w:val="none"/>
        </w:rPr>
      </w:pPr>
      <w:hyperlink r:id="rId15" w:history="1">
        <w:r w:rsidR="00CB3B75" w:rsidRPr="00770945">
          <w:rPr>
            <w:rStyle w:val="Hyperlink"/>
          </w:rPr>
          <w:t>https://www.dpi.nsw.gov.au/climate-and-emergencies/emergency/management/resources-and-publications</w:t>
        </w:r>
      </w:hyperlink>
    </w:p>
    <w:p w14:paraId="2F45F555" w14:textId="4F2F88E8" w:rsidR="006A12B2" w:rsidRDefault="006E7235" w:rsidP="006E7235">
      <w:pPr>
        <w:pStyle w:val="Heading1"/>
      </w:pPr>
      <w:bookmarkStart w:id="29" w:name="_Toc529783759"/>
      <w:r>
        <w:lastRenderedPageBreak/>
        <w:t>3</w:t>
      </w:r>
      <w:r>
        <w:tab/>
      </w:r>
      <w:r w:rsidR="005228D1">
        <w:t>Components of the r</w:t>
      </w:r>
      <w:r w:rsidR="006A12B2">
        <w:t>esponse structure</w:t>
      </w:r>
      <w:bookmarkEnd w:id="29"/>
    </w:p>
    <w:p w14:paraId="7E668323" w14:textId="16EBED28" w:rsidR="00BD560A" w:rsidRDefault="00A66BEF" w:rsidP="006E7235">
      <w:pPr>
        <w:pStyle w:val="Heading2"/>
      </w:pPr>
      <w:bookmarkStart w:id="30" w:name="_Toc529783760"/>
      <w:r>
        <w:t>3.1</w:t>
      </w:r>
      <w:r>
        <w:tab/>
      </w:r>
      <w:r w:rsidR="003A77CC" w:rsidRPr="00235D1D">
        <w:t>Pre-incident arrangements and preparedness</w:t>
      </w:r>
      <w:bookmarkEnd w:id="30"/>
      <w:r w:rsidR="00BD560A">
        <w:t xml:space="preserve"> </w:t>
      </w:r>
    </w:p>
    <w:p w14:paraId="5A8C58F7" w14:textId="0166BD6D" w:rsidR="005228D1" w:rsidRDefault="005228D1" w:rsidP="00787EE3">
      <w:pPr>
        <w:rPr>
          <w:color w:val="FF0000"/>
        </w:rPr>
      </w:pPr>
      <w:r>
        <w:t>Agricultural issues of national importance, which may include animal health issues, are the responsibility of the Agricultural Ministers</w:t>
      </w:r>
      <w:r w:rsidR="00C247DB">
        <w:t>’</w:t>
      </w:r>
      <w:r>
        <w:t xml:space="preserve"> Forum</w:t>
      </w:r>
      <w:r w:rsidRPr="0017779E">
        <w:t xml:space="preserve"> </w:t>
      </w:r>
      <w:r>
        <w:t>(</w:t>
      </w:r>
      <w:r w:rsidRPr="0017779E">
        <w:t>AGMIN</w:t>
      </w:r>
      <w:r>
        <w:t>)</w:t>
      </w:r>
      <w:r w:rsidR="00C247DB">
        <w:t>,</w:t>
      </w:r>
      <w:r w:rsidRPr="0017779E">
        <w:t xml:space="preserve"> which comprises state and territory primary industries ministers</w:t>
      </w:r>
      <w:r w:rsidR="00C247DB">
        <w:t>,</w:t>
      </w:r>
      <w:r w:rsidRPr="0017779E">
        <w:t xml:space="preserve"> and is chaired by the Australian Government Minister for Agriculture and Water Resources. The Agriculture Senior Officials Committee (AGSOC) is the standing committee supporting AGMIN</w:t>
      </w:r>
      <w:r w:rsidR="00CA40D1">
        <w:t>, which</w:t>
      </w:r>
      <w:r w:rsidRPr="0017779E">
        <w:t xml:space="preserve"> manages the work of AGMIN. </w:t>
      </w:r>
      <w:r>
        <w:t xml:space="preserve">AGSOC </w:t>
      </w:r>
      <w:r w:rsidRPr="0017779E">
        <w:t xml:space="preserve">comprises all department heads and chief executive officers of </w:t>
      </w:r>
      <w:r>
        <w:t xml:space="preserve">the </w:t>
      </w:r>
      <w:r w:rsidRPr="0017779E">
        <w:t>state and territor</w:t>
      </w:r>
      <w:r>
        <w:t xml:space="preserve">y, </w:t>
      </w:r>
      <w:r w:rsidRPr="0017779E">
        <w:t>Australia</w:t>
      </w:r>
      <w:r>
        <w:t xml:space="preserve">n Government and New Zealand departments responsible for agriculture policy. </w:t>
      </w:r>
    </w:p>
    <w:p w14:paraId="553DF0B1" w14:textId="39703CB9" w:rsidR="005228D1" w:rsidRPr="0017779E" w:rsidRDefault="005228D1" w:rsidP="005228D1">
      <w:r w:rsidRPr="0017779E">
        <w:t xml:space="preserve">The </w:t>
      </w:r>
      <w:r>
        <w:t>National Biosecurity Committee (</w:t>
      </w:r>
      <w:r w:rsidRPr="0017779E">
        <w:t>NBC</w:t>
      </w:r>
      <w:r>
        <w:t>)</w:t>
      </w:r>
      <w:r w:rsidRPr="0017779E">
        <w:t xml:space="preserve"> </w:t>
      </w:r>
      <w:r>
        <w:t xml:space="preserve">is a subcommittee of AGSOC with responsibility for national biosecurity policy issues across jurisdictions and sectors. </w:t>
      </w:r>
      <w:r w:rsidRPr="0017779E">
        <w:t xml:space="preserve">The NBC is formally established under the Intergovernmental Agreement on Biosecurity. </w:t>
      </w:r>
    </w:p>
    <w:p w14:paraId="4447A4E5" w14:textId="3CDB3C83" w:rsidR="005228D1" w:rsidRPr="0017779E" w:rsidRDefault="005228D1" w:rsidP="005228D1">
      <w:r w:rsidRPr="0017779E">
        <w:t xml:space="preserve">The Secretary of the </w:t>
      </w:r>
      <w:r>
        <w:t xml:space="preserve">Australian Government Department of Agriculture and Water Resources </w:t>
      </w:r>
      <w:r w:rsidRPr="0017779E">
        <w:t xml:space="preserve">chairs the NBC as a member of AGSOC. The Australian Government </w:t>
      </w:r>
      <w:r>
        <w:t>is represented by senior officials from the Australian Government Department of Agriculture and Water Resources</w:t>
      </w:r>
      <w:r w:rsidRPr="0017779E">
        <w:t xml:space="preserve">, and the Australian Government Department of the Environment. </w:t>
      </w:r>
      <w:r>
        <w:t>M</w:t>
      </w:r>
      <w:r w:rsidRPr="0017779E">
        <w:t xml:space="preserve">embers </w:t>
      </w:r>
      <w:r>
        <w:t>include</w:t>
      </w:r>
      <w:r w:rsidRPr="0017779E">
        <w:t xml:space="preserve"> senior representatives from </w:t>
      </w:r>
      <w:r>
        <w:t xml:space="preserve">agriculture or </w:t>
      </w:r>
      <w:r w:rsidRPr="0017779E">
        <w:t xml:space="preserve">primary industry </w:t>
      </w:r>
      <w:r>
        <w:t xml:space="preserve">and </w:t>
      </w:r>
      <w:r w:rsidRPr="0017779E">
        <w:t>environment departments responsible for biosecurity matters</w:t>
      </w:r>
      <w:r>
        <w:t xml:space="preserve"> in each state or territory and New Zealand. Each jurisdiction</w:t>
      </w:r>
      <w:r w:rsidRPr="0017779E">
        <w:t xml:space="preserve"> may have up to two representatives</w:t>
      </w:r>
      <w:r>
        <w:t xml:space="preserve"> that bring a single position on matters to be considered by the </w:t>
      </w:r>
      <w:r w:rsidR="00C247DB">
        <w:t>NBC</w:t>
      </w:r>
      <w:r w:rsidRPr="0017779E">
        <w:t>.</w:t>
      </w:r>
      <w:r>
        <w:t xml:space="preserve"> Plant Health Australia and Animal Health Australia are permanent observers </w:t>
      </w:r>
      <w:r w:rsidR="00C247DB">
        <w:t xml:space="preserve">on </w:t>
      </w:r>
      <w:r>
        <w:t xml:space="preserve">the </w:t>
      </w:r>
      <w:r w:rsidR="00C247DB">
        <w:t>c</w:t>
      </w:r>
      <w:r>
        <w:t>ommittee.</w:t>
      </w:r>
    </w:p>
    <w:p w14:paraId="0B8DC2EE" w14:textId="2304BFC1" w:rsidR="005228D1" w:rsidRPr="002C5FC6" w:rsidRDefault="00C247DB" w:rsidP="005228D1">
      <w:r>
        <w:t xml:space="preserve">The </w:t>
      </w:r>
      <w:r w:rsidR="005228D1" w:rsidRPr="0017779E">
        <w:t>Animal Health Committee (AHC)</w:t>
      </w:r>
      <w:r>
        <w:t>, a</w:t>
      </w:r>
      <w:r w:rsidRPr="0017779E">
        <w:t xml:space="preserve"> subcommittee of </w:t>
      </w:r>
      <w:r>
        <w:t xml:space="preserve">the </w:t>
      </w:r>
      <w:r w:rsidRPr="0017779E">
        <w:t>NBC</w:t>
      </w:r>
      <w:r>
        <w:t>,</w:t>
      </w:r>
      <w:r w:rsidRPr="0017779E" w:rsidDel="00C247DB">
        <w:t xml:space="preserve"> </w:t>
      </w:r>
      <w:r w:rsidR="005228D1">
        <w:t>comprise</w:t>
      </w:r>
      <w:r>
        <w:t xml:space="preserve">s </w:t>
      </w:r>
      <w:r w:rsidR="005228D1" w:rsidRPr="0017779E">
        <w:t>the chief veterinary officers</w:t>
      </w:r>
      <w:r w:rsidR="005228D1" w:rsidRPr="002C5FC6">
        <w:t xml:space="preserve"> (CVOs) of the Australian Government, </w:t>
      </w:r>
      <w:r w:rsidR="005228D1">
        <w:t xml:space="preserve">and </w:t>
      </w:r>
      <w:r>
        <w:t xml:space="preserve">the </w:t>
      </w:r>
      <w:r w:rsidR="005228D1" w:rsidRPr="002C5FC6">
        <w:t>states and territories</w:t>
      </w:r>
      <w:r w:rsidR="005228D1">
        <w:t>.</w:t>
      </w:r>
      <w:r w:rsidR="005228D1" w:rsidRPr="002C5FC6">
        <w:t xml:space="preserve"> </w:t>
      </w:r>
      <w:r w:rsidR="005228D1">
        <w:t>R</w:t>
      </w:r>
      <w:r w:rsidR="005228D1" w:rsidRPr="002C5FC6">
        <w:t>epresentatives from the CSIRO</w:t>
      </w:r>
      <w:r>
        <w:t xml:space="preserve"> Australian Animal Health Laboratory (CSIRO</w:t>
      </w:r>
      <w:r w:rsidR="005228D1" w:rsidRPr="002C5FC6">
        <w:t>-AAHL</w:t>
      </w:r>
      <w:r>
        <w:t>)</w:t>
      </w:r>
      <w:r w:rsidR="005228D1">
        <w:t>,</w:t>
      </w:r>
      <w:r w:rsidR="005228D1" w:rsidRPr="002C5FC6">
        <w:t xml:space="preserve"> Animal Health Australia</w:t>
      </w:r>
      <w:r w:rsidR="005228D1">
        <w:t xml:space="preserve"> </w:t>
      </w:r>
      <w:r w:rsidR="005228D1" w:rsidRPr="002C5FC6">
        <w:t xml:space="preserve">and </w:t>
      </w:r>
      <w:r>
        <w:t>Wildlife Health Australia (</w:t>
      </w:r>
      <w:r w:rsidR="005228D1" w:rsidRPr="002C5FC6">
        <w:t>W</w:t>
      </w:r>
      <w:r w:rsidR="005228D1">
        <w:t>HA</w:t>
      </w:r>
      <w:r>
        <w:t>)</w:t>
      </w:r>
      <w:r w:rsidR="005228D1" w:rsidRPr="002C5FC6">
        <w:t xml:space="preserve"> </w:t>
      </w:r>
      <w:r w:rsidR="005228D1">
        <w:t xml:space="preserve">participate as observers. The </w:t>
      </w:r>
      <w:r w:rsidR="005228D1" w:rsidRPr="002C5FC6">
        <w:t xml:space="preserve">primary purpose </w:t>
      </w:r>
      <w:r w:rsidR="005228D1">
        <w:t xml:space="preserve">of AHC </w:t>
      </w:r>
      <w:r w:rsidR="005228D1" w:rsidRPr="002C5FC6">
        <w:t xml:space="preserve">is to provide scientific and technical advice on animal health issues to </w:t>
      </w:r>
      <w:r>
        <w:t xml:space="preserve">the </w:t>
      </w:r>
      <w:r w:rsidR="005228D1" w:rsidRPr="002C5FC6">
        <w:t xml:space="preserve">NBC and AGSOC. </w:t>
      </w:r>
    </w:p>
    <w:p w14:paraId="587BE0DA" w14:textId="7F2E67B2" w:rsidR="005228D1" w:rsidRPr="009654CB" w:rsidRDefault="005228D1" w:rsidP="005228D1">
      <w:r w:rsidRPr="009654CB">
        <w:t xml:space="preserve">The overall organisation of wildlife health </w:t>
      </w:r>
      <w:r w:rsidR="00C247DB">
        <w:t xml:space="preserve">management </w:t>
      </w:r>
      <w:r w:rsidRPr="009654CB">
        <w:t>in Australia is shown in</w:t>
      </w:r>
      <w:r w:rsidR="00C247DB">
        <w:t xml:space="preserve"> Figure 3.1</w:t>
      </w:r>
      <w:r w:rsidR="00C247DB">
        <w:rPr>
          <w:rStyle w:val="Hyperlink"/>
          <w:rFonts w:cstheme="minorHAnsi"/>
          <w:sz w:val="22"/>
          <w:szCs w:val="22"/>
          <w:u w:val="none"/>
        </w:rPr>
        <w:t>.</w:t>
      </w:r>
    </w:p>
    <w:p w14:paraId="236DF479" w14:textId="2BC52FAA" w:rsidR="005228D1" w:rsidRPr="006E3C5F" w:rsidRDefault="00E05371" w:rsidP="005228D1">
      <w:pPr>
        <w:spacing w:after="0"/>
        <w:rPr>
          <w:color w:val="333333"/>
          <w:szCs w:val="24"/>
        </w:rPr>
      </w:pPr>
      <w:r>
        <w:rPr>
          <w:noProof/>
          <w:color w:val="333333"/>
          <w:szCs w:val="24"/>
        </w:rPr>
        <w:lastRenderedPageBreak/>
        <w:drawing>
          <wp:inline distT="0" distB="0" distL="0" distR="0" wp14:anchorId="46C26446" wp14:editId="46778C2B">
            <wp:extent cx="5731510" cy="478599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LDRESPONSE-Figure 3.1(23Oct18).PNG"/>
                    <pic:cNvPicPr/>
                  </pic:nvPicPr>
                  <pic:blipFill>
                    <a:blip r:embed="rId16">
                      <a:extLst>
                        <a:ext uri="{28A0092B-C50C-407E-A947-70E740481C1C}">
                          <a14:useLocalDpi xmlns:a14="http://schemas.microsoft.com/office/drawing/2010/main" val="0"/>
                        </a:ext>
                      </a:extLst>
                    </a:blip>
                    <a:stretch>
                      <a:fillRect/>
                    </a:stretch>
                  </pic:blipFill>
                  <pic:spPr>
                    <a:xfrm>
                      <a:off x="0" y="0"/>
                      <a:ext cx="5731510" cy="4785995"/>
                    </a:xfrm>
                    <a:prstGeom prst="rect">
                      <a:avLst/>
                    </a:prstGeom>
                  </pic:spPr>
                </pic:pic>
              </a:graphicData>
            </a:graphic>
          </wp:inline>
        </w:drawing>
      </w:r>
    </w:p>
    <w:p w14:paraId="7BED3A12" w14:textId="41C987D8" w:rsidR="004B38EA" w:rsidRDefault="005F3A22" w:rsidP="004B38EA">
      <w:pPr>
        <w:pStyle w:val="TFAbbrevs"/>
      </w:pPr>
      <w:bookmarkStart w:id="31" w:name="_Hlk508716640"/>
      <w:r>
        <w:t>CSIRO-AAHL = CSIRO Australian Animal Health Laboratory</w:t>
      </w:r>
    </w:p>
    <w:p w14:paraId="4C48814D" w14:textId="52433546" w:rsidR="005228D1" w:rsidRPr="00EB39FC" w:rsidRDefault="005228D1" w:rsidP="005228D1">
      <w:pPr>
        <w:pStyle w:val="FigureName"/>
        <w:rPr>
          <w:i/>
        </w:rPr>
      </w:pPr>
      <w:bookmarkStart w:id="32" w:name="_Toc527712261"/>
      <w:r>
        <w:t xml:space="preserve">Figure </w:t>
      </w:r>
      <w:r w:rsidR="00C247DB">
        <w:t>3.</w:t>
      </w:r>
      <w:r>
        <w:t>1</w:t>
      </w:r>
      <w:r>
        <w:tab/>
      </w:r>
      <w:r w:rsidR="00C247DB">
        <w:t>O</w:t>
      </w:r>
      <w:r w:rsidRPr="00EB39FC">
        <w:t xml:space="preserve">rganisation of wildlife health </w:t>
      </w:r>
      <w:r w:rsidR="00C247DB">
        <w:t xml:space="preserve">management </w:t>
      </w:r>
      <w:r w:rsidRPr="00EB39FC">
        <w:t>in Australia</w:t>
      </w:r>
      <w:bookmarkEnd w:id="32"/>
    </w:p>
    <w:p w14:paraId="3CC480CF" w14:textId="24FEEC3A" w:rsidR="003A77CC" w:rsidRDefault="00A66BEF" w:rsidP="003A77CC">
      <w:pPr>
        <w:pStyle w:val="Heading2"/>
      </w:pPr>
      <w:bookmarkStart w:id="33" w:name="_Toc529783761"/>
      <w:bookmarkEnd w:id="31"/>
      <w:r>
        <w:t>3.2</w:t>
      </w:r>
      <w:r>
        <w:tab/>
      </w:r>
      <w:r w:rsidR="003A77CC">
        <w:t>Response arrangements – whole of government</w:t>
      </w:r>
      <w:bookmarkEnd w:id="33"/>
    </w:p>
    <w:p w14:paraId="5D38AA3F" w14:textId="7642D185" w:rsidR="00232BE0" w:rsidRPr="00A81FA3" w:rsidRDefault="00232BE0" w:rsidP="00232BE0">
      <w:r w:rsidRPr="004B3A8C">
        <w:t>The</w:t>
      </w:r>
      <w:r>
        <w:t xml:space="preserve"> national arrangements for a </w:t>
      </w:r>
      <w:r w:rsidRPr="004B3A8C">
        <w:t xml:space="preserve">response </w:t>
      </w:r>
      <w:r w:rsidR="00CA40D1">
        <w:t xml:space="preserve">to an </w:t>
      </w:r>
      <w:r w:rsidR="00CA40D1">
        <w:rPr>
          <w:color w:val="000000" w:themeColor="text1"/>
        </w:rPr>
        <w:t>emergency wildlife disease</w:t>
      </w:r>
      <w:r w:rsidR="00CA40D1">
        <w:t xml:space="preserve"> (EWD) </w:t>
      </w:r>
      <w:r>
        <w:t xml:space="preserve">have response management </w:t>
      </w:r>
      <w:r w:rsidRPr="004B3A8C">
        <w:t>structures at national, state</w:t>
      </w:r>
      <w:r>
        <w:t xml:space="preserve"> and </w:t>
      </w:r>
      <w:r w:rsidRPr="004B3A8C">
        <w:t>territory</w:t>
      </w:r>
      <w:r w:rsidR="00E87815">
        <w:t>,</w:t>
      </w:r>
      <w:r w:rsidRPr="004B3A8C">
        <w:t xml:space="preserve"> and regional</w:t>
      </w:r>
      <w:r>
        <w:t xml:space="preserve"> and local </w:t>
      </w:r>
      <w:r w:rsidRPr="004B3A8C">
        <w:t xml:space="preserve">levels in both </w:t>
      </w:r>
      <w:r>
        <w:t xml:space="preserve">affected and and nonaffected </w:t>
      </w:r>
      <w:r w:rsidRPr="004B3A8C">
        <w:t>states and territories</w:t>
      </w:r>
      <w:r w:rsidR="00471FC6">
        <w:t>,</w:t>
      </w:r>
      <w:r w:rsidRPr="004B3A8C">
        <w:t xml:space="preserve"> and the </w:t>
      </w:r>
      <w:r>
        <w:t>Australian Government</w:t>
      </w:r>
      <w:r w:rsidRPr="004B3A8C">
        <w:t>.</w:t>
      </w:r>
      <w:r>
        <w:t xml:space="preserve"> The </w:t>
      </w:r>
      <w:r w:rsidR="00E87815">
        <w:t xml:space="preserve">whole-of-government </w:t>
      </w:r>
      <w:r>
        <w:t xml:space="preserve">model is </w:t>
      </w:r>
      <w:r w:rsidR="00E87815">
        <w:t xml:space="preserve">shown </w:t>
      </w:r>
      <w:r>
        <w:t>in</w:t>
      </w:r>
      <w:r w:rsidR="00E87815">
        <w:t xml:space="preserve"> Figure 3.2</w:t>
      </w:r>
      <w:r w:rsidRPr="00A81FA3">
        <w:t>.</w:t>
      </w:r>
    </w:p>
    <w:p w14:paraId="61E82D3E" w14:textId="77777777" w:rsidR="00232BE0" w:rsidRDefault="00232BE0" w:rsidP="00232BE0">
      <w:pPr>
        <w:pStyle w:val="ListParagraph"/>
        <w:spacing w:after="0"/>
        <w:ind w:left="0"/>
        <w:jc w:val="both"/>
      </w:pPr>
    </w:p>
    <w:p w14:paraId="231C951E" w14:textId="14EAB2DE" w:rsidR="00232BE0" w:rsidRDefault="00E2382F" w:rsidP="00232BE0">
      <w:pPr>
        <w:spacing w:after="0"/>
        <w:jc w:val="both"/>
      </w:pPr>
      <w:r>
        <w:rPr>
          <w:noProof/>
        </w:rPr>
        <w:lastRenderedPageBreak/>
        <w:drawing>
          <wp:inline distT="0" distB="0" distL="0" distR="0" wp14:anchorId="0ADCB4B6" wp14:editId="677E5D6D">
            <wp:extent cx="5731510" cy="4163060"/>
            <wp:effectExtent l="0" t="0" r="254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LDRESPONSE-Figure A3.2(12Nov18).PNG"/>
                    <pic:cNvPicPr/>
                  </pic:nvPicPr>
                  <pic:blipFill>
                    <a:blip r:embed="rId17">
                      <a:extLst>
                        <a:ext uri="{28A0092B-C50C-407E-A947-70E740481C1C}">
                          <a14:useLocalDpi xmlns:a14="http://schemas.microsoft.com/office/drawing/2010/main" val="0"/>
                        </a:ext>
                      </a:extLst>
                    </a:blip>
                    <a:stretch>
                      <a:fillRect/>
                    </a:stretch>
                  </pic:blipFill>
                  <pic:spPr>
                    <a:xfrm>
                      <a:off x="0" y="0"/>
                      <a:ext cx="5731510" cy="4163060"/>
                    </a:xfrm>
                    <a:prstGeom prst="rect">
                      <a:avLst/>
                    </a:prstGeom>
                  </pic:spPr>
                </pic:pic>
              </a:graphicData>
            </a:graphic>
          </wp:inline>
        </w:drawing>
      </w:r>
    </w:p>
    <w:p w14:paraId="1A916177" w14:textId="128F37A8" w:rsidR="00232BE0" w:rsidRPr="005245EC" w:rsidRDefault="00232BE0" w:rsidP="00232BE0">
      <w:pPr>
        <w:pStyle w:val="FigureName"/>
      </w:pPr>
      <w:bookmarkStart w:id="34" w:name="_Toc527712262"/>
      <w:r w:rsidRPr="00221079">
        <w:t>Figure 3</w:t>
      </w:r>
      <w:r w:rsidR="00E87815">
        <w:t>.2</w:t>
      </w:r>
      <w:r>
        <w:tab/>
      </w:r>
      <w:r w:rsidRPr="00221079">
        <w:t>Whole</w:t>
      </w:r>
      <w:r w:rsidR="00E87815">
        <w:t>-</w:t>
      </w:r>
      <w:r w:rsidRPr="00221079">
        <w:t>of</w:t>
      </w:r>
      <w:r w:rsidR="00E87815">
        <w:t>-g</w:t>
      </w:r>
      <w:r w:rsidRPr="00221079">
        <w:t>overnment response in a major or multistate incident</w:t>
      </w:r>
      <w:bookmarkEnd w:id="34"/>
    </w:p>
    <w:p w14:paraId="6D7A0C23" w14:textId="41D86557" w:rsidR="00250FDE" w:rsidRPr="00317145" w:rsidRDefault="00A66BEF" w:rsidP="006E7235">
      <w:pPr>
        <w:pStyle w:val="Heading2"/>
      </w:pPr>
      <w:bookmarkStart w:id="35" w:name="_Toc529783762"/>
      <w:r>
        <w:t>3.3</w:t>
      </w:r>
      <w:r>
        <w:tab/>
      </w:r>
      <w:r w:rsidR="00BD560A">
        <w:t>Response arrangements – national level</w:t>
      </w:r>
      <w:bookmarkEnd w:id="35"/>
    </w:p>
    <w:p w14:paraId="26FC5A6B" w14:textId="02263C85" w:rsidR="00250FDE" w:rsidRDefault="00C84CC0" w:rsidP="00766FF7">
      <w:r>
        <w:t xml:space="preserve">The </w:t>
      </w:r>
      <w:r w:rsidR="00F37C31" w:rsidRPr="00F37C31">
        <w:t>Australian Government Department of Agriculture and Water Resources</w:t>
      </w:r>
      <w:r w:rsidR="00250FDE" w:rsidRPr="00931E7E">
        <w:t xml:space="preserve"> is </w:t>
      </w:r>
      <w:r w:rsidR="00304CF3" w:rsidRPr="00304CF3">
        <w:t>the lead Australian Government ag</w:t>
      </w:r>
      <w:r w:rsidR="00522DEB">
        <w:t>ency for biosecurity emergencies</w:t>
      </w:r>
      <w:r>
        <w:t xml:space="preserve">. It </w:t>
      </w:r>
      <w:r w:rsidR="00304CF3">
        <w:t xml:space="preserve">is </w:t>
      </w:r>
      <w:r w:rsidR="00250FDE" w:rsidRPr="00931E7E">
        <w:t>also responsible for reporting to international agencies, such as the World Organi</w:t>
      </w:r>
      <w:r w:rsidR="0027253E">
        <w:t>s</w:t>
      </w:r>
      <w:r w:rsidR="00250FDE" w:rsidRPr="00931E7E">
        <w:t>ation for Animal Health (OIE</w:t>
      </w:r>
      <w:r w:rsidR="00C6584F" w:rsidRPr="00931E7E">
        <w:t>)</w:t>
      </w:r>
      <w:r>
        <w:t>,</w:t>
      </w:r>
      <w:r w:rsidR="00C6584F" w:rsidRPr="00931E7E">
        <w:t xml:space="preserve"> and</w:t>
      </w:r>
      <w:r w:rsidR="00250FDE" w:rsidRPr="00931E7E">
        <w:t xml:space="preserve"> advising trading partners.</w:t>
      </w:r>
      <w:r w:rsidR="00713AB4">
        <w:t xml:space="preserve"> </w:t>
      </w:r>
      <w:r w:rsidR="005C16B5">
        <w:t xml:space="preserve">The </w:t>
      </w:r>
      <w:r w:rsidR="008A7AC8">
        <w:t>Australia</w:t>
      </w:r>
      <w:r w:rsidR="005C16B5">
        <w:t>n</w:t>
      </w:r>
      <w:r w:rsidR="00713AB4">
        <w:t xml:space="preserve"> </w:t>
      </w:r>
      <w:r w:rsidR="008A7AC8">
        <w:t>OIE</w:t>
      </w:r>
      <w:r w:rsidR="00713AB4">
        <w:t xml:space="preserve"> </w:t>
      </w:r>
      <w:r w:rsidR="00B01830">
        <w:t xml:space="preserve">Focal Point </w:t>
      </w:r>
      <w:r w:rsidR="008A7AC8">
        <w:t xml:space="preserve">for wildlife </w:t>
      </w:r>
      <w:r w:rsidR="000C78A0">
        <w:t xml:space="preserve">is appointed by, and reports to, Australia’s OIE </w:t>
      </w:r>
      <w:r w:rsidR="00B01830">
        <w:t>Delegate</w:t>
      </w:r>
      <w:r w:rsidR="000C78A0">
        <w:t xml:space="preserve"> (the </w:t>
      </w:r>
      <w:r>
        <w:t xml:space="preserve">Australian </w:t>
      </w:r>
      <w:r w:rsidR="000C78A0">
        <w:t>CVO)</w:t>
      </w:r>
      <w:r w:rsidR="0080601C">
        <w:t xml:space="preserve">. The current </w:t>
      </w:r>
      <w:r w:rsidR="00B01830">
        <w:t xml:space="preserve">Focal Point </w:t>
      </w:r>
      <w:r w:rsidR="0080601C">
        <w:t xml:space="preserve">is </w:t>
      </w:r>
      <w:r w:rsidR="000C78A0">
        <w:t>located within WHA.</w:t>
      </w:r>
    </w:p>
    <w:p w14:paraId="52B5B112" w14:textId="17800E4D" w:rsidR="00232BE0" w:rsidRPr="004B3655" w:rsidRDefault="00A66BEF" w:rsidP="006E7235">
      <w:pPr>
        <w:pStyle w:val="Heading3"/>
      </w:pPr>
      <w:bookmarkStart w:id="36" w:name="_Toc529783763"/>
      <w:r>
        <w:t>3.3.1</w:t>
      </w:r>
      <w:r>
        <w:tab/>
      </w:r>
      <w:r w:rsidR="00232BE0" w:rsidRPr="004B3655">
        <w:t>National Biosecurity Management Group</w:t>
      </w:r>
      <w:bookmarkEnd w:id="36"/>
    </w:p>
    <w:p w14:paraId="1F56D509" w14:textId="45CD6285" w:rsidR="00232BE0" w:rsidRDefault="00232BE0" w:rsidP="00232BE0">
      <w:r w:rsidRPr="000824B9">
        <w:t xml:space="preserve">The </w:t>
      </w:r>
      <w:r w:rsidR="00C84CC0" w:rsidRPr="004B3655">
        <w:t>National Biosecurity Management Group</w:t>
      </w:r>
      <w:r w:rsidR="00C84CC0" w:rsidRPr="000824B9">
        <w:t xml:space="preserve"> </w:t>
      </w:r>
      <w:r w:rsidR="00C84CC0">
        <w:t>(</w:t>
      </w:r>
      <w:r w:rsidRPr="000824B9">
        <w:t>NBMG</w:t>
      </w:r>
      <w:r w:rsidR="00C84CC0">
        <w:t>)</w:t>
      </w:r>
      <w:r w:rsidRPr="000824B9">
        <w:t xml:space="preserve"> and the </w:t>
      </w:r>
      <w:r w:rsidR="00C84CC0" w:rsidRPr="004B3655">
        <w:t>National Biosecurity Management Consultative Committee</w:t>
      </w:r>
      <w:r w:rsidR="00C84CC0">
        <w:t xml:space="preserve"> (</w:t>
      </w:r>
      <w:r>
        <w:t>NB</w:t>
      </w:r>
      <w:r w:rsidRPr="000824B9">
        <w:t>M</w:t>
      </w:r>
      <w:r>
        <w:t>CC</w:t>
      </w:r>
      <w:r w:rsidR="00C84CC0">
        <w:t>)</w:t>
      </w:r>
      <w:r w:rsidRPr="000824B9">
        <w:t xml:space="preserve"> ensure </w:t>
      </w:r>
      <w:r w:rsidR="00C84CC0">
        <w:t xml:space="preserve">that </w:t>
      </w:r>
      <w:r w:rsidRPr="000824B9">
        <w:t>there is a high level of interaction between each state</w:t>
      </w:r>
      <w:r>
        <w:t xml:space="preserve"> </w:t>
      </w:r>
      <w:r w:rsidR="00C84CC0">
        <w:t>and</w:t>
      </w:r>
      <w:r>
        <w:t xml:space="preserve"> </w:t>
      </w:r>
      <w:r w:rsidRPr="000824B9">
        <w:t xml:space="preserve">territory, the Australian Government, and any </w:t>
      </w:r>
      <w:r>
        <w:t xml:space="preserve">agreed </w:t>
      </w:r>
      <w:r w:rsidRPr="000824B9">
        <w:t xml:space="preserve">private partner that may be involved </w:t>
      </w:r>
      <w:r w:rsidR="00C84CC0">
        <w:t>in</w:t>
      </w:r>
      <w:r w:rsidR="00C84CC0" w:rsidRPr="000824B9">
        <w:t xml:space="preserve"> </w:t>
      </w:r>
      <w:r w:rsidRPr="000824B9">
        <w:t>a response. A</w:t>
      </w:r>
      <w:r w:rsidR="00C84CC0">
        <w:t>n</w:t>
      </w:r>
      <w:r w:rsidRPr="000824B9">
        <w:t xml:space="preserve"> NBMG is created </w:t>
      </w:r>
      <w:r w:rsidR="00C84CC0" w:rsidRPr="000824B9">
        <w:t xml:space="preserve">for a specific response </w:t>
      </w:r>
      <w:r w:rsidRPr="000824B9">
        <w:t xml:space="preserve">at the request of a party </w:t>
      </w:r>
      <w:r w:rsidR="00C84CC0">
        <w:t xml:space="preserve">to the </w:t>
      </w:r>
      <w:r w:rsidR="00C84CC0" w:rsidRPr="00EC0D05">
        <w:t>National Environmental Biosecurity Response Agreement</w:t>
      </w:r>
      <w:r w:rsidR="00C84CC0" w:rsidRPr="000824B9">
        <w:t xml:space="preserve"> </w:t>
      </w:r>
      <w:r w:rsidR="00C84CC0">
        <w:t>(</w:t>
      </w:r>
      <w:r w:rsidR="00C84CC0" w:rsidRPr="000824B9">
        <w:t>NEBRA</w:t>
      </w:r>
      <w:r w:rsidR="00C84CC0">
        <w:t>)</w:t>
      </w:r>
      <w:r w:rsidRPr="000824B9">
        <w:t xml:space="preserve">. </w:t>
      </w:r>
      <w:r w:rsidR="00C84CC0">
        <w:t xml:space="preserve">The </w:t>
      </w:r>
      <w:r w:rsidRPr="000824B9">
        <w:t>NBMG is not a standing group or committee</w:t>
      </w:r>
      <w:r>
        <w:t>.</w:t>
      </w:r>
    </w:p>
    <w:p w14:paraId="61377769" w14:textId="73497316" w:rsidR="00232BE0" w:rsidRPr="000824B9" w:rsidRDefault="00232BE0" w:rsidP="00232BE0">
      <w:pPr>
        <w:pStyle w:val="NormalBeforeBullet"/>
      </w:pPr>
      <w:r w:rsidRPr="000824B9">
        <w:t>The NBMG includes</w:t>
      </w:r>
      <w:r>
        <w:t>:</w:t>
      </w:r>
      <w:r w:rsidRPr="000824B9">
        <w:t xml:space="preserve"> </w:t>
      </w:r>
    </w:p>
    <w:p w14:paraId="27ECD961" w14:textId="70FD85A6" w:rsidR="00232BE0" w:rsidRDefault="00C84CC0" w:rsidP="00232BE0">
      <w:pPr>
        <w:pStyle w:val="Bullet"/>
      </w:pPr>
      <w:r w:rsidRPr="000824B9">
        <w:t>representatives from the</w:t>
      </w:r>
      <w:r>
        <w:t xml:space="preserve"> </w:t>
      </w:r>
      <w:r w:rsidR="00232BE0">
        <w:t>Australian Government (</w:t>
      </w:r>
      <w:r>
        <w:t>nonvoting c</w:t>
      </w:r>
      <w:r w:rsidR="00232BE0">
        <w:t xml:space="preserve">hair </w:t>
      </w:r>
      <w:r>
        <w:t xml:space="preserve">plus one voting member </w:t>
      </w:r>
      <w:r w:rsidR="00232BE0">
        <w:t>from</w:t>
      </w:r>
      <w:r>
        <w:t xml:space="preserve"> </w:t>
      </w:r>
      <w:r w:rsidR="00232BE0">
        <w:t>agenc</w:t>
      </w:r>
      <w:r>
        <w:t>ies</w:t>
      </w:r>
      <w:r w:rsidR="00232BE0">
        <w:t xml:space="preserve"> determined by the </w:t>
      </w:r>
      <w:r>
        <w:t>Australian Government</w:t>
      </w:r>
      <w:r w:rsidR="00232BE0">
        <w:t>)</w:t>
      </w:r>
    </w:p>
    <w:p w14:paraId="445C16BC" w14:textId="30A6C4E9" w:rsidR="00232BE0" w:rsidRDefault="00C84CC0" w:rsidP="00232BE0">
      <w:pPr>
        <w:pStyle w:val="Bullet"/>
      </w:pPr>
      <w:r>
        <w:t>o</w:t>
      </w:r>
      <w:r w:rsidR="00232BE0">
        <w:t>ne voting representative at chief executive level from the designated lead agency of each state and territory</w:t>
      </w:r>
    </w:p>
    <w:p w14:paraId="1BE1027D" w14:textId="7ECD8D90" w:rsidR="00232BE0" w:rsidRDefault="00C84CC0" w:rsidP="00232BE0">
      <w:pPr>
        <w:pStyle w:val="Bullet"/>
      </w:pPr>
      <w:r>
        <w:lastRenderedPageBreak/>
        <w:t>o</w:t>
      </w:r>
      <w:r w:rsidR="00232BE0">
        <w:t>ne nonvoting representative at chief executive level from interested nonlead agenc</w:t>
      </w:r>
      <w:r>
        <w:t>ies</w:t>
      </w:r>
      <w:r w:rsidR="00232BE0">
        <w:t xml:space="preserve"> of each state and territory</w:t>
      </w:r>
    </w:p>
    <w:p w14:paraId="2229473C" w14:textId="29E60A18" w:rsidR="00232BE0" w:rsidRDefault="00C84CC0" w:rsidP="00232BE0">
      <w:pPr>
        <w:pStyle w:val="Bullet"/>
      </w:pPr>
      <w:r>
        <w:t xml:space="preserve">the </w:t>
      </w:r>
      <w:r w:rsidR="00232BE0">
        <w:t>Chair of</w:t>
      </w:r>
      <w:r>
        <w:t xml:space="preserve"> the</w:t>
      </w:r>
      <w:r w:rsidR="00232BE0">
        <w:t xml:space="preserve"> NBMCC</w:t>
      </w:r>
    </w:p>
    <w:p w14:paraId="249E89C3" w14:textId="2EBCD8C1" w:rsidR="00232BE0" w:rsidRDefault="00C84CC0" w:rsidP="00232BE0">
      <w:pPr>
        <w:pStyle w:val="Bullet"/>
      </w:pPr>
      <w:r>
        <w:t>the c</w:t>
      </w:r>
      <w:r w:rsidR="00232BE0">
        <w:t xml:space="preserve">hair of </w:t>
      </w:r>
      <w:r>
        <w:t xml:space="preserve">the </w:t>
      </w:r>
      <w:r w:rsidR="00232BE0">
        <w:t>affected sector committee</w:t>
      </w:r>
    </w:p>
    <w:p w14:paraId="7117C3D2" w14:textId="3135C77C" w:rsidR="00232BE0" w:rsidRDefault="00C84CC0" w:rsidP="00232BE0">
      <w:pPr>
        <w:pStyle w:val="Bullet"/>
      </w:pPr>
      <w:r>
        <w:t>p</w:t>
      </w:r>
      <w:r w:rsidR="00232BE0">
        <w:t xml:space="preserve">rivate or industry representatives as agreed to by the </w:t>
      </w:r>
      <w:r>
        <w:t>c</w:t>
      </w:r>
      <w:r w:rsidR="00232BE0">
        <w:t>hair</w:t>
      </w:r>
    </w:p>
    <w:p w14:paraId="37C04228" w14:textId="45E38BA7" w:rsidR="00232BE0" w:rsidRDefault="00C84CC0" w:rsidP="00230CCC">
      <w:pPr>
        <w:pStyle w:val="BulletLast"/>
      </w:pPr>
      <w:r>
        <w:t>o</w:t>
      </w:r>
      <w:r w:rsidR="00232BE0">
        <w:t>bservers</w:t>
      </w:r>
      <w:r>
        <w:t>, who</w:t>
      </w:r>
      <w:r w:rsidR="00232BE0">
        <w:t xml:space="preserve"> may include one representative </w:t>
      </w:r>
      <w:r w:rsidR="00224DF1">
        <w:t xml:space="preserve">from each </w:t>
      </w:r>
      <w:r w:rsidR="00232BE0">
        <w:t>of the health department</w:t>
      </w:r>
      <w:r>
        <w:t>s</w:t>
      </w:r>
      <w:r w:rsidR="00232BE0">
        <w:t xml:space="preserve"> </w:t>
      </w:r>
      <w:r>
        <w:t xml:space="preserve">of the </w:t>
      </w:r>
      <w:r w:rsidR="00232BE0">
        <w:t>Australian Government and each state or territory, and advis</w:t>
      </w:r>
      <w:r>
        <w:t>e</w:t>
      </w:r>
      <w:r w:rsidR="00232BE0">
        <w:t>rs to voting members. Advis</w:t>
      </w:r>
      <w:r>
        <w:t>e</w:t>
      </w:r>
      <w:r w:rsidR="00232BE0">
        <w:t>rs may be nongovernment personnel.</w:t>
      </w:r>
    </w:p>
    <w:p w14:paraId="65B6BD8A" w14:textId="4FAA7B55" w:rsidR="00232BE0" w:rsidRPr="00FC6630" w:rsidRDefault="00232BE0" w:rsidP="00232BE0">
      <w:r w:rsidRPr="00FC6630">
        <w:t>At the start of each response</w:t>
      </w:r>
      <w:r w:rsidR="00C84CC0">
        <w:t>,</w:t>
      </w:r>
      <w:r w:rsidRPr="00FC6630">
        <w:t xml:space="preserve"> each state or territory must identify their lead agency and supporting agency(s) to ensure the correct representation on the NBMG. </w:t>
      </w:r>
    </w:p>
    <w:p w14:paraId="2E923C23" w14:textId="65DC7B49" w:rsidR="00232BE0" w:rsidRPr="000824B9" w:rsidRDefault="00232BE0" w:rsidP="00232BE0">
      <w:r w:rsidRPr="000824B9">
        <w:t xml:space="preserve">The NBMG </w:t>
      </w:r>
      <w:r>
        <w:t>is</w:t>
      </w:r>
      <w:r w:rsidRPr="000824B9">
        <w:t xml:space="preserve"> active during the </w:t>
      </w:r>
      <w:r w:rsidR="003746D9">
        <w:t>a</w:t>
      </w:r>
      <w:r w:rsidRPr="000824B9">
        <w:t xml:space="preserve">lert, </w:t>
      </w:r>
      <w:r w:rsidR="003746D9">
        <w:t>o</w:t>
      </w:r>
      <w:r w:rsidRPr="000824B9">
        <w:t>peration</w:t>
      </w:r>
      <w:r w:rsidR="003746D9">
        <w:t>s</w:t>
      </w:r>
      <w:r w:rsidRPr="000824B9">
        <w:t xml:space="preserve"> and </w:t>
      </w:r>
      <w:r w:rsidR="003746D9">
        <w:t>s</w:t>
      </w:r>
      <w:r w:rsidRPr="000824B9">
        <w:t>tand</w:t>
      </w:r>
      <w:r w:rsidR="003746D9">
        <w:t>-d</w:t>
      </w:r>
      <w:r w:rsidRPr="000824B9">
        <w:t>own phases</w:t>
      </w:r>
      <w:r w:rsidR="00A06E98">
        <w:t xml:space="preserve"> (see Section 5)</w:t>
      </w:r>
      <w:r w:rsidRPr="000824B9">
        <w:t xml:space="preserve">. </w:t>
      </w:r>
    </w:p>
    <w:p w14:paraId="3B19DEDC" w14:textId="3958D055" w:rsidR="00232BE0" w:rsidRDefault="00232BE0" w:rsidP="00232BE0">
      <w:pPr>
        <w:rPr>
          <w:color w:val="000000" w:themeColor="text1"/>
        </w:rPr>
      </w:pPr>
      <w:r w:rsidRPr="00063385">
        <w:rPr>
          <w:color w:val="000000" w:themeColor="text1"/>
        </w:rPr>
        <w:t>The NBMG is the peak national biosecurity decision-making forum through which parties would seek decisions in the e</w:t>
      </w:r>
      <w:r>
        <w:rPr>
          <w:color w:val="000000" w:themeColor="text1"/>
        </w:rPr>
        <w:t>vent of an outbreak of an EWD</w:t>
      </w:r>
      <w:r w:rsidRPr="00063385">
        <w:rPr>
          <w:color w:val="000000" w:themeColor="text1"/>
        </w:rPr>
        <w:t xml:space="preserve">. </w:t>
      </w:r>
      <w:r w:rsidR="00A06E98">
        <w:rPr>
          <w:color w:val="000000" w:themeColor="text1"/>
        </w:rPr>
        <w:t>D</w:t>
      </w:r>
      <w:r w:rsidRPr="00063385">
        <w:rPr>
          <w:color w:val="000000" w:themeColor="text1"/>
        </w:rPr>
        <w:t xml:space="preserve">ecisions to be made by the NBMG include whether the outbreak is of national significance, whether a national biosecurity incident response is required, the approving of the </w:t>
      </w:r>
      <w:r w:rsidR="00A06E98" w:rsidRPr="00FC6630">
        <w:rPr>
          <w:bCs/>
        </w:rPr>
        <w:t xml:space="preserve">National Biosecurity </w:t>
      </w:r>
      <w:r w:rsidR="00A06E98">
        <w:rPr>
          <w:bCs/>
        </w:rPr>
        <w:t xml:space="preserve">Incident </w:t>
      </w:r>
      <w:r w:rsidR="00A06E98" w:rsidRPr="00FC6630">
        <w:rPr>
          <w:bCs/>
        </w:rPr>
        <w:t>Response Plan</w:t>
      </w:r>
      <w:r w:rsidR="00A06E98">
        <w:rPr>
          <w:color w:val="000000" w:themeColor="text1"/>
        </w:rPr>
        <w:t xml:space="preserve"> (</w:t>
      </w:r>
      <w:r>
        <w:rPr>
          <w:color w:val="000000" w:themeColor="text1"/>
        </w:rPr>
        <w:t>NRP</w:t>
      </w:r>
      <w:r w:rsidR="00A06E98">
        <w:rPr>
          <w:color w:val="000000" w:themeColor="text1"/>
        </w:rPr>
        <w:t xml:space="preserve">; see </w:t>
      </w:r>
      <w:r w:rsidR="00A06E98" w:rsidRPr="00CB35FB">
        <w:rPr>
          <w:color w:val="000000" w:themeColor="text1"/>
        </w:rPr>
        <w:t>Section</w:t>
      </w:r>
      <w:r w:rsidR="00A06E98">
        <w:rPr>
          <w:color w:val="000000" w:themeColor="text1"/>
        </w:rPr>
        <w:t> 5.2)</w:t>
      </w:r>
      <w:r w:rsidRPr="00063385">
        <w:rPr>
          <w:color w:val="000000" w:themeColor="text1"/>
        </w:rPr>
        <w:t>, and cost</w:t>
      </w:r>
      <w:r w:rsidR="00A06E98">
        <w:rPr>
          <w:color w:val="000000" w:themeColor="text1"/>
        </w:rPr>
        <w:t xml:space="preserve"> </w:t>
      </w:r>
      <w:r w:rsidRPr="00063385">
        <w:rPr>
          <w:color w:val="000000" w:themeColor="text1"/>
        </w:rPr>
        <w:t xml:space="preserve">sharing of eligible costs of implementing an </w:t>
      </w:r>
      <w:r>
        <w:rPr>
          <w:color w:val="000000" w:themeColor="text1"/>
        </w:rPr>
        <w:t>NRP</w:t>
      </w:r>
      <w:r w:rsidRPr="00063385">
        <w:rPr>
          <w:color w:val="000000" w:themeColor="text1"/>
        </w:rPr>
        <w:t xml:space="preserve">. </w:t>
      </w:r>
    </w:p>
    <w:p w14:paraId="6A877716" w14:textId="2D113380" w:rsidR="00232BE0" w:rsidRPr="00063385" w:rsidRDefault="00232BE0" w:rsidP="00232BE0">
      <w:pPr>
        <w:rPr>
          <w:color w:val="000000" w:themeColor="text1"/>
        </w:rPr>
      </w:pPr>
      <w:r w:rsidRPr="001057D7">
        <w:rPr>
          <w:color w:val="000000" w:themeColor="text1"/>
        </w:rPr>
        <w:t xml:space="preserve">The outputs required by the NBMC to make these decisions are described in </w:t>
      </w:r>
      <w:r w:rsidR="00F04EC2" w:rsidRPr="00CB35FB">
        <w:rPr>
          <w:color w:val="000000" w:themeColor="text1"/>
        </w:rPr>
        <w:t>Section</w:t>
      </w:r>
      <w:r w:rsidR="00F04EC2">
        <w:rPr>
          <w:color w:val="000000" w:themeColor="text1"/>
        </w:rPr>
        <w:t> 6.2.</w:t>
      </w:r>
    </w:p>
    <w:p w14:paraId="69F066AC" w14:textId="15C912FC" w:rsidR="00232BE0" w:rsidRPr="000824B9" w:rsidRDefault="00232BE0" w:rsidP="00232BE0">
      <w:r w:rsidRPr="000824B9">
        <w:t>An important NBMG decision toward</w:t>
      </w:r>
      <w:r w:rsidR="00F04EC2">
        <w:t>s</w:t>
      </w:r>
      <w:r w:rsidRPr="000824B9">
        <w:t xml:space="preserve"> the end of </w:t>
      </w:r>
      <w:r w:rsidR="00F04EC2">
        <w:t xml:space="preserve">a </w:t>
      </w:r>
      <w:r w:rsidRPr="000824B9">
        <w:t>response will be</w:t>
      </w:r>
      <w:r>
        <w:t xml:space="preserve"> to</w:t>
      </w:r>
      <w:r w:rsidRPr="000824B9">
        <w:t xml:space="preserve"> determine </w:t>
      </w:r>
      <w:r w:rsidR="00F04EC2">
        <w:t>whether</w:t>
      </w:r>
      <w:r w:rsidR="00F04EC2" w:rsidRPr="000824B9">
        <w:t xml:space="preserve"> </w:t>
      </w:r>
      <w:r w:rsidRPr="000824B9">
        <w:t xml:space="preserve">the disease has been eradicated </w:t>
      </w:r>
      <w:r>
        <w:t xml:space="preserve">in accordance with </w:t>
      </w:r>
      <w:r w:rsidRPr="000824B9">
        <w:t>proof</w:t>
      </w:r>
      <w:r w:rsidR="00F04EC2">
        <w:t>-</w:t>
      </w:r>
      <w:r w:rsidRPr="000824B9">
        <w:t>of</w:t>
      </w:r>
      <w:r w:rsidR="00F04EC2">
        <w:t>-</w:t>
      </w:r>
      <w:r w:rsidRPr="000824B9">
        <w:t xml:space="preserve">freedom evidence and progress against the </w:t>
      </w:r>
      <w:r>
        <w:t>NRP</w:t>
      </w:r>
      <w:r w:rsidRPr="000824B9">
        <w:t xml:space="preserve">. </w:t>
      </w:r>
      <w:r>
        <w:t>Alternatively, t</w:t>
      </w:r>
      <w:r w:rsidRPr="000824B9">
        <w:t>he NMBG may determine that eradication is no</w:t>
      </w:r>
      <w:r>
        <w:t xml:space="preserve"> longer feasible</w:t>
      </w:r>
      <w:r w:rsidRPr="000824B9">
        <w:t xml:space="preserve"> and cease the response under the NEBRA.</w:t>
      </w:r>
      <w:r>
        <w:t xml:space="preserve"> Affected parties are then free to determine whether any further response activities occur (Figure</w:t>
      </w:r>
      <w:r w:rsidR="00F04EC2">
        <w:t> 5.1</w:t>
      </w:r>
      <w:r>
        <w:t>)</w:t>
      </w:r>
      <w:r w:rsidR="00F04EC2">
        <w:t>;</w:t>
      </w:r>
      <w:r>
        <w:t xml:space="preserve"> however</w:t>
      </w:r>
      <w:r w:rsidR="00F04EC2">
        <w:t>,</w:t>
      </w:r>
      <w:r>
        <w:t xml:space="preserve"> these will not be funded under the NEBRA</w:t>
      </w:r>
      <w:r w:rsidR="00F04EC2">
        <w:t>.</w:t>
      </w:r>
    </w:p>
    <w:p w14:paraId="469FD2F7" w14:textId="1D62407D" w:rsidR="00232BE0" w:rsidRDefault="00232BE0" w:rsidP="00232BE0">
      <w:r>
        <w:t>E</w:t>
      </w:r>
      <w:r w:rsidRPr="000824B9">
        <w:t xml:space="preserve">mergency management agencies are not </w:t>
      </w:r>
      <w:r>
        <w:t xml:space="preserve">usually </w:t>
      </w:r>
      <w:r w:rsidRPr="000824B9">
        <w:t xml:space="preserve">represented on </w:t>
      </w:r>
      <w:r w:rsidR="00F04EC2">
        <w:t xml:space="preserve">the </w:t>
      </w:r>
      <w:r w:rsidRPr="000824B9">
        <w:t>NBMG unless a state</w:t>
      </w:r>
      <w:r>
        <w:t xml:space="preserve"> or </w:t>
      </w:r>
      <w:r w:rsidRPr="000824B9">
        <w:t>territory determines such an agency to be a supporting agency. An emergency management agency may make a contribution at the national level through the emergency management committees.</w:t>
      </w:r>
    </w:p>
    <w:p w14:paraId="7C6D1895" w14:textId="08D00673" w:rsidR="00232BE0" w:rsidRPr="004B3655" w:rsidRDefault="00A66BEF" w:rsidP="006E7235">
      <w:pPr>
        <w:pStyle w:val="Heading3"/>
      </w:pPr>
      <w:bookmarkStart w:id="37" w:name="_Toc529783764"/>
      <w:r>
        <w:t>3.3.2</w:t>
      </w:r>
      <w:r>
        <w:tab/>
      </w:r>
      <w:r w:rsidR="00232BE0" w:rsidRPr="004B3655">
        <w:t>National Biosecurity Management Consultative Committee</w:t>
      </w:r>
      <w:bookmarkEnd w:id="37"/>
    </w:p>
    <w:p w14:paraId="0054F795" w14:textId="77777777" w:rsidR="00232BE0" w:rsidRPr="00520CD5" w:rsidRDefault="00232BE0" w:rsidP="00232BE0">
      <w:r>
        <w:t xml:space="preserve">The </w:t>
      </w:r>
      <w:r w:rsidRPr="003F63BF">
        <w:t>NBMCC</w:t>
      </w:r>
      <w:r w:rsidRPr="00520CD5">
        <w:t xml:space="preserve"> is a technical committee that will advise the NBMG in relation to its biosecurity decision-making responsibilities and will have a role in coordinating national biosecurity incident responses between the parties.</w:t>
      </w:r>
    </w:p>
    <w:p w14:paraId="56AAAE86" w14:textId="2ED1E103" w:rsidR="00232BE0" w:rsidRPr="000824B9" w:rsidRDefault="00232BE0" w:rsidP="00232BE0">
      <w:r w:rsidRPr="000824B9">
        <w:t xml:space="preserve">The creation and membership of the NBMCC is fundamentally the same as for the NBMG except </w:t>
      </w:r>
      <w:r w:rsidR="003746D9">
        <w:t xml:space="preserve">that </w:t>
      </w:r>
      <w:r w:rsidRPr="000824B9">
        <w:t xml:space="preserve">there are no nonvoting members and </w:t>
      </w:r>
      <w:r>
        <w:t>the</w:t>
      </w:r>
      <w:r w:rsidRPr="000824B9">
        <w:t xml:space="preserve"> representative from CSIRO is a voting member. Observers are present</w:t>
      </w:r>
      <w:r w:rsidR="00F04EC2">
        <w:t>,</w:t>
      </w:r>
      <w:r w:rsidRPr="000824B9">
        <w:t xml:space="preserve"> as for </w:t>
      </w:r>
      <w:r w:rsidR="003746D9">
        <w:t xml:space="preserve">the </w:t>
      </w:r>
      <w:r w:rsidRPr="000824B9">
        <w:t>NBMG.</w:t>
      </w:r>
    </w:p>
    <w:p w14:paraId="6CF628A4" w14:textId="110B01E5" w:rsidR="00232BE0" w:rsidRPr="000824B9" w:rsidRDefault="00232BE0" w:rsidP="00232BE0">
      <w:r w:rsidRPr="000824B9">
        <w:t xml:space="preserve">The </w:t>
      </w:r>
      <w:r>
        <w:t xml:space="preserve">NBMCC </w:t>
      </w:r>
      <w:r w:rsidRPr="000824B9">
        <w:t xml:space="preserve">will provide </w:t>
      </w:r>
      <w:r w:rsidR="00F04EC2">
        <w:t>wide-</w:t>
      </w:r>
      <w:r w:rsidR="00F04EC2" w:rsidRPr="000824B9">
        <w:t xml:space="preserve">ranging </w:t>
      </w:r>
      <w:r w:rsidRPr="000824B9">
        <w:t>technical and expert advice to the NBMG</w:t>
      </w:r>
      <w:r w:rsidR="00F04EC2">
        <w:t xml:space="preserve">, including </w:t>
      </w:r>
      <w:r w:rsidRPr="000824B9">
        <w:t xml:space="preserve">on the </w:t>
      </w:r>
      <w:r>
        <w:t>EWD</w:t>
      </w:r>
      <w:r w:rsidRPr="000824B9">
        <w:t xml:space="preserve">, control measures, distribution of the disease and host(s), impacts of the disease, </w:t>
      </w:r>
      <w:r w:rsidR="00224DF1">
        <w:t xml:space="preserve">transmission </w:t>
      </w:r>
      <w:r w:rsidRPr="000824B9">
        <w:t xml:space="preserve">pathways and tactics such as surveillance. A key activity of the NBMCC is </w:t>
      </w:r>
      <w:r w:rsidR="00144407">
        <w:t xml:space="preserve">to </w:t>
      </w:r>
      <w:r w:rsidRPr="000824B9">
        <w:t>consider</w:t>
      </w:r>
      <w:r w:rsidR="00144407">
        <w:t xml:space="preserve"> </w:t>
      </w:r>
      <w:r w:rsidRPr="000824B9">
        <w:t xml:space="preserve">a proposed </w:t>
      </w:r>
      <w:r>
        <w:t>NRP</w:t>
      </w:r>
      <w:r w:rsidRPr="000824B9">
        <w:t xml:space="preserve"> and recommend</w:t>
      </w:r>
      <w:r w:rsidR="00144407">
        <w:t xml:space="preserve"> it (</w:t>
      </w:r>
      <w:r w:rsidRPr="000824B9">
        <w:t xml:space="preserve">or </w:t>
      </w:r>
      <w:r w:rsidR="00144407">
        <w:t xml:space="preserve">not) </w:t>
      </w:r>
      <w:r w:rsidRPr="000824B9">
        <w:t>to the NBMG. The NBMCC will manage national</w:t>
      </w:r>
      <w:r w:rsidR="00144407">
        <w:t>-</w:t>
      </w:r>
      <w:r w:rsidRPr="000824B9">
        <w:t xml:space="preserve">level reports and monitor progress to assess </w:t>
      </w:r>
      <w:r w:rsidR="00144407">
        <w:t>whether</w:t>
      </w:r>
      <w:r w:rsidR="00144407" w:rsidRPr="000824B9">
        <w:t xml:space="preserve"> </w:t>
      </w:r>
      <w:r w:rsidRPr="000824B9">
        <w:t xml:space="preserve">eradication </w:t>
      </w:r>
      <w:r w:rsidR="00144407">
        <w:t xml:space="preserve">of the EWD </w:t>
      </w:r>
      <w:r w:rsidRPr="000824B9">
        <w:t>is feasible.</w:t>
      </w:r>
    </w:p>
    <w:p w14:paraId="3A81FB43" w14:textId="22514C19" w:rsidR="00232BE0" w:rsidRDefault="00232BE0" w:rsidP="00232BE0">
      <w:r w:rsidRPr="000824B9">
        <w:lastRenderedPageBreak/>
        <w:t>NBMCC meetings are likely to be frequent during the initial stages of a response. Subsequent</w:t>
      </w:r>
      <w:r>
        <w:t>ly</w:t>
      </w:r>
      <w:r w:rsidR="00144407">
        <w:t>,</w:t>
      </w:r>
      <w:r w:rsidRPr="000824B9">
        <w:t xml:space="preserve"> the NBMCC will meet as often as necessary to ensure </w:t>
      </w:r>
      <w:r w:rsidR="00144407">
        <w:t xml:space="preserve">that </w:t>
      </w:r>
      <w:r w:rsidRPr="000824B9">
        <w:t>the affected states</w:t>
      </w:r>
      <w:r w:rsidR="00144407">
        <w:t xml:space="preserve"> </w:t>
      </w:r>
      <w:r>
        <w:t xml:space="preserve">or </w:t>
      </w:r>
      <w:r w:rsidRPr="000824B9">
        <w:t>territor</w:t>
      </w:r>
      <w:r w:rsidR="00144407">
        <w:t xml:space="preserve">ies are </w:t>
      </w:r>
      <w:r w:rsidRPr="000824B9">
        <w:t xml:space="preserve">able to manage and control the </w:t>
      </w:r>
      <w:r>
        <w:t>EWD</w:t>
      </w:r>
      <w:r w:rsidR="00144407">
        <w:t xml:space="preserve">, or </w:t>
      </w:r>
      <w:r w:rsidRPr="000824B9">
        <w:t xml:space="preserve">until </w:t>
      </w:r>
      <w:r w:rsidR="00144407">
        <w:t>eradication is successful</w:t>
      </w:r>
      <w:r w:rsidR="00144407" w:rsidRPr="000824B9">
        <w:t xml:space="preserve"> </w:t>
      </w:r>
      <w:r w:rsidR="00144407">
        <w:t xml:space="preserve">or </w:t>
      </w:r>
      <w:r w:rsidRPr="000824B9">
        <w:t xml:space="preserve">a decision is made that it is not feasible to eradicate the </w:t>
      </w:r>
      <w:r>
        <w:t>EWD</w:t>
      </w:r>
      <w:r w:rsidRPr="000824B9">
        <w:t>.</w:t>
      </w:r>
    </w:p>
    <w:p w14:paraId="27911188" w14:textId="26EA97A5" w:rsidR="00232BE0" w:rsidRPr="004B3655" w:rsidRDefault="00A66BEF" w:rsidP="006E7235">
      <w:pPr>
        <w:pStyle w:val="Heading3"/>
      </w:pPr>
      <w:bookmarkStart w:id="38" w:name="_Toc529783765"/>
      <w:r>
        <w:t>3.3.3</w:t>
      </w:r>
      <w:r>
        <w:tab/>
      </w:r>
      <w:r w:rsidR="00232BE0" w:rsidRPr="004B3655">
        <w:t xml:space="preserve">Technical </w:t>
      </w:r>
      <w:r w:rsidR="00144407">
        <w:t>r</w:t>
      </w:r>
      <w:r w:rsidR="00232BE0" w:rsidRPr="004B3655">
        <w:t xml:space="preserve">eview </w:t>
      </w:r>
      <w:r w:rsidR="00144407">
        <w:t>g</w:t>
      </w:r>
      <w:r w:rsidR="00232BE0" w:rsidRPr="004B3655">
        <w:t>roup</w:t>
      </w:r>
      <w:r w:rsidR="00747505">
        <w:t>,</w:t>
      </w:r>
      <w:r w:rsidR="00232BE0">
        <w:t xml:space="preserve"> and </w:t>
      </w:r>
      <w:r w:rsidR="00144407">
        <w:t>s</w:t>
      </w:r>
      <w:r w:rsidR="00232BE0" w:rsidRPr="004B3655">
        <w:t xml:space="preserve">cientific </w:t>
      </w:r>
      <w:r w:rsidR="00144407">
        <w:t>a</w:t>
      </w:r>
      <w:r w:rsidR="00232BE0" w:rsidRPr="004B3655">
        <w:t xml:space="preserve">dvisory </w:t>
      </w:r>
      <w:r w:rsidR="00144407">
        <w:t>g</w:t>
      </w:r>
      <w:r w:rsidR="00232BE0" w:rsidRPr="004B3655">
        <w:t>roup</w:t>
      </w:r>
      <w:r w:rsidR="00232BE0">
        <w:t xml:space="preserve"> or </w:t>
      </w:r>
      <w:r w:rsidR="00144407">
        <w:t>p</w:t>
      </w:r>
      <w:r w:rsidR="00232BE0" w:rsidRPr="004B3655">
        <w:t>anel</w:t>
      </w:r>
      <w:bookmarkEnd w:id="38"/>
    </w:p>
    <w:p w14:paraId="035A603B" w14:textId="248EA86F" w:rsidR="00232BE0" w:rsidRPr="000824B9" w:rsidRDefault="00232BE0" w:rsidP="00232BE0">
      <w:r w:rsidRPr="000824B9">
        <w:t>The NBMCC is able to create a special interest group(s) or panel(s) to consider and provide specialist advice to the NBMCC. The membership of such a group o</w:t>
      </w:r>
      <w:r>
        <w:t>r</w:t>
      </w:r>
      <w:r w:rsidRPr="000824B9">
        <w:t xml:space="preserve"> panel is usually determined at the time. The group or panel may or may not include a representative from each state</w:t>
      </w:r>
      <w:r>
        <w:t xml:space="preserve"> and </w:t>
      </w:r>
      <w:r w:rsidRPr="000824B9">
        <w:t>territory, the Australian Government</w:t>
      </w:r>
      <w:r w:rsidR="00F227D2">
        <w:t>,</w:t>
      </w:r>
      <w:r w:rsidRPr="000824B9">
        <w:t xml:space="preserve"> and other stakeholders with relevant specialist knowledge and expertise. </w:t>
      </w:r>
    </w:p>
    <w:p w14:paraId="3D2A7866" w14:textId="32F61409" w:rsidR="00232BE0" w:rsidRPr="000824B9" w:rsidRDefault="00232BE0" w:rsidP="00232BE0">
      <w:r w:rsidRPr="000824B9">
        <w:t>Such groups</w:t>
      </w:r>
      <w:r>
        <w:t xml:space="preserve"> or </w:t>
      </w:r>
      <w:r w:rsidRPr="000824B9">
        <w:t xml:space="preserve">panels for an </w:t>
      </w:r>
      <w:r>
        <w:t>EWD</w:t>
      </w:r>
      <w:r w:rsidRPr="000824B9">
        <w:t xml:space="preserve"> are very likely to include experts from a number of institutions</w:t>
      </w:r>
      <w:r w:rsidR="00F227D2">
        <w:t>,</w:t>
      </w:r>
      <w:r w:rsidRPr="000824B9">
        <w:t xml:space="preserve"> such as </w:t>
      </w:r>
      <w:r>
        <w:t>u</w:t>
      </w:r>
      <w:r w:rsidRPr="000824B9">
        <w:t>niversities</w:t>
      </w:r>
      <w:r w:rsidR="00F227D2">
        <w:t>,</w:t>
      </w:r>
      <w:r w:rsidRPr="000824B9">
        <w:t xml:space="preserve"> overseas </w:t>
      </w:r>
      <w:r w:rsidR="00F227D2">
        <w:t xml:space="preserve">organisations </w:t>
      </w:r>
      <w:r w:rsidRPr="000824B9">
        <w:t>and private foundations. These institutions are likely to have experts with knowledge of the specific host</w:t>
      </w:r>
      <w:r w:rsidR="00F227D2">
        <w:t>s of the EWD agent</w:t>
      </w:r>
      <w:r w:rsidRPr="000824B9">
        <w:t xml:space="preserve">, </w:t>
      </w:r>
      <w:r w:rsidR="00F227D2">
        <w:t xml:space="preserve">the </w:t>
      </w:r>
      <w:r w:rsidRPr="000824B9">
        <w:t xml:space="preserve">target </w:t>
      </w:r>
      <w:r>
        <w:t>EWD</w:t>
      </w:r>
      <w:r w:rsidRPr="000824B9">
        <w:t>, target populations, survey and sampling methodologies, and environmental assessments and measurements.</w:t>
      </w:r>
    </w:p>
    <w:p w14:paraId="2159A70A" w14:textId="56F8EA21" w:rsidR="00232BE0" w:rsidRDefault="00232BE0" w:rsidP="00232BE0">
      <w:pPr>
        <w:rPr>
          <w:b/>
          <w:color w:val="00B050"/>
        </w:rPr>
      </w:pPr>
      <w:r w:rsidRPr="000824B9">
        <w:t xml:space="preserve">The budget of the </w:t>
      </w:r>
      <w:r>
        <w:t>NRP</w:t>
      </w:r>
      <w:r w:rsidRPr="000824B9">
        <w:t xml:space="preserve"> </w:t>
      </w:r>
      <w:r>
        <w:t>will</w:t>
      </w:r>
      <w:r w:rsidRPr="000824B9">
        <w:t xml:space="preserve"> specify the use of any external expert</w:t>
      </w:r>
      <w:r>
        <w:t>s</w:t>
      </w:r>
      <w:r w:rsidRPr="000824B9">
        <w:t xml:space="preserve"> and reflect the costs to engage the</w:t>
      </w:r>
      <w:r w:rsidR="00F227D2">
        <w:t>m</w:t>
      </w:r>
      <w:r w:rsidRPr="000824B9">
        <w:t>.</w:t>
      </w:r>
    </w:p>
    <w:p w14:paraId="3A2574CB" w14:textId="49174590" w:rsidR="00250FDE" w:rsidRPr="00317145" w:rsidRDefault="00A66BEF" w:rsidP="006E7235">
      <w:pPr>
        <w:pStyle w:val="Heading2"/>
      </w:pPr>
      <w:bookmarkStart w:id="39" w:name="_Toc529783766"/>
      <w:r>
        <w:t>3.4</w:t>
      </w:r>
      <w:r>
        <w:tab/>
      </w:r>
      <w:r w:rsidR="00BD560A">
        <w:t>Response arrangements</w:t>
      </w:r>
      <w:r w:rsidR="00BD560A" w:rsidRPr="00317145">
        <w:t xml:space="preserve"> </w:t>
      </w:r>
      <w:r w:rsidR="00BD560A">
        <w:t>– s</w:t>
      </w:r>
      <w:r w:rsidR="00250FDE" w:rsidRPr="00317145">
        <w:t xml:space="preserve">tate and </w:t>
      </w:r>
      <w:r w:rsidR="00232921">
        <w:t>t</w:t>
      </w:r>
      <w:r w:rsidR="00250FDE" w:rsidRPr="00317145">
        <w:t xml:space="preserve">erritory </w:t>
      </w:r>
      <w:r w:rsidR="00BD560A">
        <w:t>level</w:t>
      </w:r>
      <w:bookmarkEnd w:id="39"/>
    </w:p>
    <w:p w14:paraId="49FE52E2" w14:textId="35ABC4B3" w:rsidR="00250FDE" w:rsidRDefault="00F227D2" w:rsidP="00766FF7">
      <w:r>
        <w:t>E</w:t>
      </w:r>
      <w:r w:rsidR="00250FDE" w:rsidRPr="00931E7E">
        <w:t>mergency management</w:t>
      </w:r>
      <w:r w:rsidR="00695B1D">
        <w:t xml:space="preserve"> agencies</w:t>
      </w:r>
      <w:r w:rsidR="00250FDE">
        <w:t xml:space="preserve">, </w:t>
      </w:r>
      <w:r w:rsidR="00250FDE" w:rsidRPr="00931E7E">
        <w:t xml:space="preserve">animal health authorities </w:t>
      </w:r>
      <w:r w:rsidR="00250FDE">
        <w:t xml:space="preserve">and human health authorities </w:t>
      </w:r>
      <w:r w:rsidR="00250FDE" w:rsidRPr="00931E7E">
        <w:t xml:space="preserve">are jointly responsible for maintaining </w:t>
      </w:r>
      <w:r>
        <w:t>emergency animal disease (</w:t>
      </w:r>
      <w:r w:rsidR="00C70130">
        <w:t>E</w:t>
      </w:r>
      <w:r w:rsidR="00250FDE">
        <w:t>AD</w:t>
      </w:r>
      <w:r>
        <w:t>)</w:t>
      </w:r>
      <w:r w:rsidR="00250FDE">
        <w:t xml:space="preserve"> </w:t>
      </w:r>
      <w:r w:rsidR="005A0D61">
        <w:t>plans</w:t>
      </w:r>
      <w:r>
        <w:t>,</w:t>
      </w:r>
      <w:r w:rsidR="005A0D61">
        <w:t xml:space="preserve"> </w:t>
      </w:r>
      <w:r w:rsidR="00250FDE">
        <w:t>including EWD</w:t>
      </w:r>
      <w:r w:rsidR="00250FDE" w:rsidRPr="00931E7E">
        <w:t xml:space="preserve"> support plans, and </w:t>
      </w:r>
      <w:r>
        <w:t xml:space="preserve">for </w:t>
      </w:r>
      <w:r w:rsidR="00250FDE">
        <w:t>preparedness activities such as development and maintenance of policies, procedures</w:t>
      </w:r>
      <w:r>
        <w:t xml:space="preserve">, </w:t>
      </w:r>
      <w:r w:rsidR="00250FDE">
        <w:t>response system</w:t>
      </w:r>
      <w:r>
        <w:t>s</w:t>
      </w:r>
      <w:r w:rsidR="00250FDE">
        <w:t xml:space="preserve">, </w:t>
      </w:r>
      <w:r w:rsidR="00250FDE" w:rsidRPr="00931E7E">
        <w:t>training programs for personnel</w:t>
      </w:r>
      <w:r w:rsidR="001270F7">
        <w:t xml:space="preserve"> and exercises</w:t>
      </w:r>
      <w:r w:rsidR="00250FDE" w:rsidRPr="00931E7E">
        <w:t>.</w:t>
      </w:r>
      <w:r w:rsidR="00250FDE">
        <w:t xml:space="preserve"> </w:t>
      </w:r>
    </w:p>
    <w:p w14:paraId="119BE0CC" w14:textId="0080B883" w:rsidR="00171BB5" w:rsidRPr="005C16B5" w:rsidRDefault="00A66BEF" w:rsidP="006E7235">
      <w:pPr>
        <w:pStyle w:val="Heading3"/>
      </w:pPr>
      <w:bookmarkStart w:id="40" w:name="_Toc529783767"/>
      <w:r>
        <w:t>3.4.1</w:t>
      </w:r>
      <w:r>
        <w:tab/>
      </w:r>
      <w:r w:rsidR="00317145" w:rsidRPr="005C16B5">
        <w:t>State and territory a</w:t>
      </w:r>
      <w:r w:rsidR="00171BB5" w:rsidRPr="005C16B5">
        <w:t>gency support plans</w:t>
      </w:r>
      <w:bookmarkEnd w:id="40"/>
    </w:p>
    <w:p w14:paraId="240BB82B" w14:textId="19A5C7B1" w:rsidR="00171BB5" w:rsidRDefault="00171BB5" w:rsidP="00766FF7">
      <w:r w:rsidRPr="000155D7">
        <w:t xml:space="preserve">Responses to an </w:t>
      </w:r>
      <w:r>
        <w:t>EWD</w:t>
      </w:r>
      <w:r w:rsidRPr="000155D7">
        <w:t xml:space="preserve"> will require significant resources (stores, equipment, services) and people with expertise, skills and knowledge from agencies other than those directly involved </w:t>
      </w:r>
      <w:r w:rsidR="00F227D2">
        <w:t>in</w:t>
      </w:r>
      <w:r w:rsidR="00F227D2" w:rsidRPr="000155D7">
        <w:t xml:space="preserve"> </w:t>
      </w:r>
      <w:r w:rsidRPr="000155D7">
        <w:t xml:space="preserve">a response. </w:t>
      </w:r>
    </w:p>
    <w:p w14:paraId="2D025AE3" w14:textId="19F00B56" w:rsidR="00301BE1" w:rsidRDefault="00171BB5" w:rsidP="00766FF7">
      <w:r>
        <w:t xml:space="preserve">Plans </w:t>
      </w:r>
      <w:r w:rsidR="00F227D2" w:rsidRPr="00FC6630">
        <w:t>are developed and maintained on an all hazards</w:t>
      </w:r>
      <w:r w:rsidR="00F227D2">
        <w:t>-</w:t>
      </w:r>
      <w:r w:rsidR="00F227D2" w:rsidRPr="00FC6630">
        <w:t>basis</w:t>
      </w:r>
      <w:r w:rsidR="00F227D2">
        <w:t xml:space="preserve"> as</w:t>
      </w:r>
      <w:r w:rsidR="00F227D2" w:rsidRPr="00FC6630">
        <w:t xml:space="preserve"> part of the emergency management arrangements at the national</w:t>
      </w:r>
      <w:r w:rsidR="00F227D2">
        <w:t>,</w:t>
      </w:r>
      <w:r w:rsidR="00F227D2" w:rsidRPr="00FC6630">
        <w:t xml:space="preserve"> and state </w:t>
      </w:r>
      <w:r w:rsidR="00F227D2">
        <w:t>and</w:t>
      </w:r>
      <w:r w:rsidR="00F227D2" w:rsidRPr="00FC6630">
        <w:t xml:space="preserve"> territory</w:t>
      </w:r>
      <w:r w:rsidR="00F227D2">
        <w:t xml:space="preserve"> levels. These include </w:t>
      </w:r>
      <w:r w:rsidR="00234F91">
        <w:t>state</w:t>
      </w:r>
      <w:r w:rsidR="003C10B6">
        <w:t xml:space="preserve"> </w:t>
      </w:r>
      <w:r w:rsidR="00224159">
        <w:t>and</w:t>
      </w:r>
      <w:r w:rsidR="003C10B6">
        <w:t xml:space="preserve"> </w:t>
      </w:r>
      <w:r w:rsidR="00234F91">
        <w:t xml:space="preserve">territory </w:t>
      </w:r>
      <w:r w:rsidR="00F227D2">
        <w:t>d</w:t>
      </w:r>
      <w:r w:rsidR="00234F91">
        <w:t xml:space="preserve">isaster </w:t>
      </w:r>
      <w:r w:rsidR="00F227D2">
        <w:t>p</w:t>
      </w:r>
      <w:r w:rsidR="00234F91">
        <w:t xml:space="preserve">lans </w:t>
      </w:r>
      <w:r>
        <w:t xml:space="preserve">and </w:t>
      </w:r>
      <w:r w:rsidR="00234F91">
        <w:t xml:space="preserve">supporting </w:t>
      </w:r>
      <w:r>
        <w:t>subplans</w:t>
      </w:r>
      <w:r w:rsidR="00F227D2">
        <w:t>,</w:t>
      </w:r>
      <w:r>
        <w:t xml:space="preserve"> </w:t>
      </w:r>
      <w:r w:rsidR="00D06458">
        <w:t xml:space="preserve">such as the </w:t>
      </w:r>
      <w:r w:rsidR="00F227D2">
        <w:t>b</w:t>
      </w:r>
      <w:r w:rsidR="00234F91">
        <w:t>iosecurity</w:t>
      </w:r>
      <w:r w:rsidR="00D06458">
        <w:t xml:space="preserve"> </w:t>
      </w:r>
      <w:r w:rsidR="00D06458" w:rsidRPr="00067884">
        <w:t>subplan</w:t>
      </w:r>
      <w:r w:rsidR="00857A4D" w:rsidRPr="00FC6630">
        <w:t>s</w:t>
      </w:r>
      <w:r w:rsidR="00D06458" w:rsidRPr="00FC6630">
        <w:t xml:space="preserve"> </w:t>
      </w:r>
      <w:r w:rsidR="00234F91" w:rsidRPr="00FC6630">
        <w:t xml:space="preserve">of Victoria and </w:t>
      </w:r>
      <w:r w:rsidR="00F227D2">
        <w:t>New South Wales</w:t>
      </w:r>
      <w:r w:rsidRPr="00FC6630">
        <w:t xml:space="preserve">. The arrangements </w:t>
      </w:r>
      <w:r w:rsidR="00F227D2">
        <w:t>under</w:t>
      </w:r>
      <w:r w:rsidR="00F227D2" w:rsidRPr="00FC6630">
        <w:t xml:space="preserve"> </w:t>
      </w:r>
      <w:r w:rsidR="00234F91" w:rsidRPr="00FC6630">
        <w:t>these plans and subplans ensure a coordinated</w:t>
      </w:r>
      <w:r w:rsidRPr="00FC6630">
        <w:t xml:space="preserve"> </w:t>
      </w:r>
      <w:r w:rsidR="00F227D2">
        <w:t>whole-of-government</w:t>
      </w:r>
      <w:r w:rsidR="00F227D2" w:rsidRPr="00FC6630">
        <w:t xml:space="preserve"> </w:t>
      </w:r>
      <w:r w:rsidRPr="00FC6630">
        <w:t>approach to resourcing at state</w:t>
      </w:r>
      <w:r w:rsidR="00224159" w:rsidRPr="00FC6630">
        <w:t xml:space="preserve"> and territory</w:t>
      </w:r>
      <w:r w:rsidRPr="00FC6630">
        <w:t>, regional and local</w:t>
      </w:r>
      <w:r w:rsidR="00695B1D" w:rsidRPr="00FC6630">
        <w:t xml:space="preserve"> </w:t>
      </w:r>
      <w:r w:rsidRPr="00FC6630">
        <w:t xml:space="preserve">levels. </w:t>
      </w:r>
      <w:r w:rsidRPr="00067884">
        <w:t>These arrangements will be important during a response</w:t>
      </w:r>
      <w:r w:rsidRPr="00947E69">
        <w:t xml:space="preserve"> </w:t>
      </w:r>
      <w:r w:rsidR="00F227D2">
        <w:t>to</w:t>
      </w:r>
      <w:r w:rsidR="00F227D2" w:rsidRPr="00947E69">
        <w:t xml:space="preserve"> </w:t>
      </w:r>
      <w:r w:rsidR="0086792A" w:rsidRPr="00947E69">
        <w:t>an</w:t>
      </w:r>
      <w:r w:rsidRPr="00947E69">
        <w:t xml:space="preserve"> EWD</w:t>
      </w:r>
      <w:r w:rsidR="00F227D2">
        <w:t xml:space="preserve"> incident</w:t>
      </w:r>
      <w:r w:rsidRPr="00947E69">
        <w:t xml:space="preserve">. </w:t>
      </w:r>
    </w:p>
    <w:p w14:paraId="445CB161" w14:textId="64CEDCF7" w:rsidR="00232BE0" w:rsidRPr="004B3655" w:rsidRDefault="00A66BEF" w:rsidP="006E7235">
      <w:pPr>
        <w:pStyle w:val="Heading3"/>
      </w:pPr>
      <w:bookmarkStart w:id="41" w:name="_Toc529783768"/>
      <w:r>
        <w:t>3.4.2</w:t>
      </w:r>
      <w:r>
        <w:tab/>
      </w:r>
      <w:r w:rsidR="00232BE0">
        <w:t>C</w:t>
      </w:r>
      <w:r w:rsidR="00232BE0" w:rsidRPr="004B3655">
        <w:t>ommand</w:t>
      </w:r>
      <w:r w:rsidR="00232BE0">
        <w:t>,</w:t>
      </w:r>
      <w:r w:rsidR="00232BE0" w:rsidRPr="004B3655">
        <w:t xml:space="preserve"> control and coordination</w:t>
      </w:r>
      <w:bookmarkEnd w:id="41"/>
      <w:r w:rsidR="00232BE0" w:rsidRPr="004B3655">
        <w:t xml:space="preserve"> </w:t>
      </w:r>
    </w:p>
    <w:p w14:paraId="330DB0FA" w14:textId="200E2C29" w:rsidR="00232BE0" w:rsidRPr="000824B9" w:rsidRDefault="00232BE0" w:rsidP="00232BE0">
      <w:r w:rsidRPr="000824B9">
        <w:t>The command</w:t>
      </w:r>
      <w:r>
        <w:t>,</w:t>
      </w:r>
      <w:r w:rsidRPr="000824B9">
        <w:t xml:space="preserve"> control and coordination in the states and territories </w:t>
      </w:r>
      <w:r>
        <w:t>will</w:t>
      </w:r>
      <w:r w:rsidRPr="000824B9">
        <w:t xml:space="preserve"> bring together personnel from a number of agencies</w:t>
      </w:r>
      <w:r w:rsidR="00F227D2">
        <w:t>,</w:t>
      </w:r>
      <w:r w:rsidRPr="000824B9">
        <w:t xml:space="preserve"> including primary industries</w:t>
      </w:r>
      <w:r>
        <w:t xml:space="preserve"> </w:t>
      </w:r>
      <w:r w:rsidR="00F227D2">
        <w:t>and</w:t>
      </w:r>
      <w:r>
        <w:t xml:space="preserve"> </w:t>
      </w:r>
      <w:r w:rsidRPr="000824B9">
        <w:t>agriculture, the environment and heritage</w:t>
      </w:r>
      <w:r w:rsidR="00F227D2">
        <w:t>,</w:t>
      </w:r>
      <w:r w:rsidRPr="000824B9">
        <w:t xml:space="preserve"> and </w:t>
      </w:r>
      <w:r w:rsidR="00F227D2">
        <w:t xml:space="preserve">human </w:t>
      </w:r>
      <w:r w:rsidRPr="000824B9">
        <w:t xml:space="preserve">health. </w:t>
      </w:r>
      <w:r>
        <w:t>Many</w:t>
      </w:r>
      <w:r w:rsidRPr="000824B9">
        <w:t xml:space="preserve"> personnel from the agencies will have experience with command</w:t>
      </w:r>
      <w:r w:rsidR="007345E0">
        <w:t>,</w:t>
      </w:r>
      <w:r w:rsidRPr="000824B9">
        <w:t xml:space="preserve"> control and coordination systems that are fundamentally the same</w:t>
      </w:r>
      <w:r>
        <w:t xml:space="preserve"> for natural disasters, human </w:t>
      </w:r>
      <w:r w:rsidR="007345E0">
        <w:t xml:space="preserve">health emergencies </w:t>
      </w:r>
      <w:r>
        <w:t>and animal health emergencies.</w:t>
      </w:r>
    </w:p>
    <w:p w14:paraId="2F4B3F63" w14:textId="02D3602E" w:rsidR="00232BE0" w:rsidRPr="000824B9" w:rsidRDefault="007345E0" w:rsidP="00232BE0">
      <w:r w:rsidRPr="00CB35FB">
        <w:t>The Biosecurity Incident Management System (</w:t>
      </w:r>
      <w:r w:rsidR="00232BE0" w:rsidRPr="00CB35FB">
        <w:t>BIMS</w:t>
      </w:r>
      <w:r w:rsidRPr="00CB35FB">
        <w:t>)</w:t>
      </w:r>
      <w:r w:rsidR="00232BE0" w:rsidRPr="00CB35FB">
        <w:t xml:space="preserve"> is the basis for biosecurity responses. BIMS</w:t>
      </w:r>
      <w:r w:rsidR="00CB35FB">
        <w:t>,</w:t>
      </w:r>
      <w:r w:rsidR="00232BE0" w:rsidRPr="00CB35FB">
        <w:t xml:space="preserve"> as contextualised for an EAD and detailed in the AUSVETPLAN </w:t>
      </w:r>
      <w:r w:rsidR="00232BE0" w:rsidRPr="00CB35FB">
        <w:rPr>
          <w:i/>
        </w:rPr>
        <w:t xml:space="preserve">Control </w:t>
      </w:r>
      <w:r w:rsidR="00CB35FB" w:rsidRPr="00CB35FB">
        <w:rPr>
          <w:i/>
        </w:rPr>
        <w:t>c</w:t>
      </w:r>
      <w:r w:rsidR="00232BE0" w:rsidRPr="00CB35FB">
        <w:rPr>
          <w:i/>
        </w:rPr>
        <w:t>entre</w:t>
      </w:r>
      <w:r w:rsidRPr="00CB35FB">
        <w:rPr>
          <w:i/>
        </w:rPr>
        <w:t>s</w:t>
      </w:r>
      <w:r w:rsidR="00232BE0" w:rsidRPr="00CB35FB">
        <w:rPr>
          <w:i/>
        </w:rPr>
        <w:t xml:space="preserve"> </w:t>
      </w:r>
      <w:r w:rsidR="00CB35FB" w:rsidRPr="00CB35FB">
        <w:rPr>
          <w:i/>
        </w:rPr>
        <w:lastRenderedPageBreak/>
        <w:t>m</w:t>
      </w:r>
      <w:r w:rsidR="00232BE0" w:rsidRPr="00CB35FB">
        <w:rPr>
          <w:i/>
        </w:rPr>
        <w:t xml:space="preserve">anagement </w:t>
      </w:r>
      <w:r w:rsidR="00CB35FB" w:rsidRPr="00CB35FB">
        <w:rPr>
          <w:i/>
        </w:rPr>
        <w:t>m</w:t>
      </w:r>
      <w:r w:rsidR="00232BE0" w:rsidRPr="00CB35FB">
        <w:rPr>
          <w:i/>
        </w:rPr>
        <w:t>anual</w:t>
      </w:r>
      <w:r w:rsidR="00232BE0" w:rsidRPr="00CB35FB">
        <w:t xml:space="preserve"> </w:t>
      </w:r>
      <w:r w:rsidRPr="00CB35FB">
        <w:t>(</w:t>
      </w:r>
      <w:r w:rsidR="00232BE0" w:rsidRPr="00CB35FB">
        <w:t>Parts 1 and 2</w:t>
      </w:r>
      <w:r w:rsidRPr="00CB35FB">
        <w:t>)</w:t>
      </w:r>
      <w:r w:rsidR="00CB35FB">
        <w:t>,</w:t>
      </w:r>
      <w:r w:rsidR="00CB35FB">
        <w:rPr>
          <w:rStyle w:val="FootnoteReference"/>
        </w:rPr>
        <w:footnoteReference w:id="12"/>
      </w:r>
      <w:r w:rsidR="00232BE0" w:rsidRPr="00CB35FB">
        <w:t xml:space="preserve"> </w:t>
      </w:r>
      <w:r w:rsidRPr="00CB35FB">
        <w:t xml:space="preserve">is </w:t>
      </w:r>
      <w:r w:rsidR="00232BE0" w:rsidRPr="00CB35FB">
        <w:t>accessible on</w:t>
      </w:r>
      <w:r w:rsidR="00AA43FC">
        <w:t>line</w:t>
      </w:r>
      <w:r w:rsidR="00232BE0" w:rsidRPr="00CB35FB">
        <w:t>.</w:t>
      </w:r>
      <w:r w:rsidR="00CB35FB">
        <w:rPr>
          <w:rStyle w:val="FootnoteReference"/>
        </w:rPr>
        <w:footnoteReference w:id="13"/>
      </w:r>
      <w:r w:rsidR="00232BE0" w:rsidRPr="00CB35FB">
        <w:t xml:space="preserve"> Personnel from primary</w:t>
      </w:r>
      <w:r w:rsidR="00232BE0" w:rsidRPr="000824B9">
        <w:t xml:space="preserve"> industries</w:t>
      </w:r>
      <w:r w:rsidR="00232BE0">
        <w:t xml:space="preserve"> </w:t>
      </w:r>
      <w:r>
        <w:t>and</w:t>
      </w:r>
      <w:r w:rsidR="00232BE0">
        <w:t xml:space="preserve"> </w:t>
      </w:r>
      <w:r w:rsidR="00232BE0" w:rsidRPr="000824B9">
        <w:t>agriculture agencies will be familiar with BIMS.</w:t>
      </w:r>
    </w:p>
    <w:p w14:paraId="74CB8743" w14:textId="7E1F8283" w:rsidR="00232BE0" w:rsidRPr="000824B9" w:rsidRDefault="007345E0" w:rsidP="00232BE0">
      <w:r>
        <w:t>P</w:t>
      </w:r>
      <w:r w:rsidR="00232BE0" w:rsidRPr="000824B9">
        <w:t xml:space="preserve">ersonnel from environment-based agencies </w:t>
      </w:r>
      <w:r w:rsidR="00232BE0">
        <w:t>are more likely to</w:t>
      </w:r>
      <w:r w:rsidR="00232BE0" w:rsidRPr="000824B9">
        <w:t xml:space="preserve"> be familiar with the Incident Control System (ICS)</w:t>
      </w:r>
      <w:r>
        <w:t>, which is</w:t>
      </w:r>
      <w:r w:rsidR="00232BE0" w:rsidRPr="000824B9">
        <w:t xml:space="preserve"> used for responses to natural disasters such as bushfires </w:t>
      </w:r>
      <w:r w:rsidR="00232BE0">
        <w:t>and floods</w:t>
      </w:r>
      <w:r w:rsidR="00232BE0" w:rsidRPr="000824B9">
        <w:t>.</w:t>
      </w:r>
      <w:r w:rsidR="00232BE0">
        <w:t xml:space="preserve"> </w:t>
      </w:r>
      <w:r w:rsidR="00AA43FC">
        <w:t xml:space="preserve">The </w:t>
      </w:r>
      <w:r w:rsidR="00232BE0">
        <w:t>ICS is developed and maintained as part of the Australasian Interagency and Incident Management System.</w:t>
      </w:r>
    </w:p>
    <w:p w14:paraId="3F110E6D" w14:textId="77777777" w:rsidR="00232BE0" w:rsidRPr="000824B9" w:rsidRDefault="00232BE0" w:rsidP="00232BE0">
      <w:pPr>
        <w:pStyle w:val="NormalBeforeBullet"/>
      </w:pPr>
      <w:r w:rsidRPr="000824B9">
        <w:t>BIMS and ICS are fundamentally the sam</w:t>
      </w:r>
      <w:r>
        <w:t>e. T</w:t>
      </w:r>
      <w:r w:rsidRPr="000824B9">
        <w:t>hose familiar with either will be able to work with both. The key principles of both are</w:t>
      </w:r>
      <w:r>
        <w:t>:</w:t>
      </w:r>
    </w:p>
    <w:p w14:paraId="0C633375" w14:textId="19DEDAAC" w:rsidR="00232BE0" w:rsidRDefault="007345E0" w:rsidP="00232BE0">
      <w:pPr>
        <w:pStyle w:val="Bullet"/>
      </w:pPr>
      <w:r>
        <w:t>u</w:t>
      </w:r>
      <w:r w:rsidR="00232BE0">
        <w:t>nity of command</w:t>
      </w:r>
    </w:p>
    <w:p w14:paraId="54B9CA66" w14:textId="65D4B7D6" w:rsidR="00232BE0" w:rsidRPr="00DA70DE" w:rsidRDefault="007345E0" w:rsidP="00232BE0">
      <w:pPr>
        <w:pStyle w:val="Bullet"/>
      </w:pPr>
      <w:r>
        <w:t>f</w:t>
      </w:r>
      <w:r w:rsidR="00232BE0" w:rsidRPr="00DA70DE">
        <w:t>unctional management (</w:t>
      </w:r>
      <w:r>
        <w:t>c</w:t>
      </w:r>
      <w:r w:rsidR="00232BE0" w:rsidRPr="00DA70DE">
        <w:t xml:space="preserve">ontrol, </w:t>
      </w:r>
      <w:r>
        <w:t>p</w:t>
      </w:r>
      <w:r w:rsidR="00232BE0" w:rsidRPr="00DA70DE">
        <w:t>lanning</w:t>
      </w:r>
      <w:r w:rsidR="00232BE0">
        <w:t>/</w:t>
      </w:r>
      <w:r>
        <w:t>i</w:t>
      </w:r>
      <w:r w:rsidR="00232BE0">
        <w:t>ntelligence</w:t>
      </w:r>
      <w:r w:rsidR="00232BE0" w:rsidRPr="00DA70DE">
        <w:t xml:space="preserve">, </w:t>
      </w:r>
      <w:r>
        <w:t>o</w:t>
      </w:r>
      <w:r w:rsidR="00232BE0" w:rsidRPr="00DA70DE">
        <w:t xml:space="preserve">perations, </w:t>
      </w:r>
      <w:r>
        <w:t>l</w:t>
      </w:r>
      <w:r w:rsidR="00232BE0" w:rsidRPr="00DA70DE">
        <w:t xml:space="preserve">ogistics, </w:t>
      </w:r>
      <w:r>
        <w:t>f</w:t>
      </w:r>
      <w:r w:rsidR="00232BE0" w:rsidRPr="00DA70DE">
        <w:t xml:space="preserve">inance and </w:t>
      </w:r>
      <w:r>
        <w:t>a</w:t>
      </w:r>
      <w:r w:rsidR="00232BE0" w:rsidRPr="00DA70DE">
        <w:t xml:space="preserve">dministration, </w:t>
      </w:r>
      <w:r>
        <w:t>c</w:t>
      </w:r>
      <w:r w:rsidR="00232BE0" w:rsidRPr="00DA70DE">
        <w:t xml:space="preserve">ommunications and </w:t>
      </w:r>
      <w:r>
        <w:t>m</w:t>
      </w:r>
      <w:r w:rsidR="00232BE0" w:rsidRPr="00DA70DE">
        <w:t>edia)</w:t>
      </w:r>
    </w:p>
    <w:p w14:paraId="76967C0D" w14:textId="306651EB" w:rsidR="00232BE0" w:rsidRPr="00DA70DE" w:rsidRDefault="007345E0" w:rsidP="00232BE0">
      <w:pPr>
        <w:pStyle w:val="Bullet"/>
      </w:pPr>
      <w:r>
        <w:t>m</w:t>
      </w:r>
      <w:r w:rsidR="00232BE0" w:rsidRPr="00DA70DE">
        <w:t xml:space="preserve">anagement by </w:t>
      </w:r>
      <w:r>
        <w:t>o</w:t>
      </w:r>
      <w:r w:rsidR="00232BE0" w:rsidRPr="00DA70DE">
        <w:t>bjective</w:t>
      </w:r>
    </w:p>
    <w:p w14:paraId="0621E621" w14:textId="3ED76C05" w:rsidR="00232BE0" w:rsidRDefault="007345E0" w:rsidP="00232BE0">
      <w:pPr>
        <w:pStyle w:val="Bullet"/>
      </w:pPr>
      <w:r>
        <w:t>s</w:t>
      </w:r>
      <w:r w:rsidR="00232BE0" w:rsidRPr="00DA70DE">
        <w:t xml:space="preserve">pan of </w:t>
      </w:r>
      <w:r>
        <w:t>c</w:t>
      </w:r>
      <w:r w:rsidR="00232BE0" w:rsidRPr="00DA70DE">
        <w:t>ontrol</w:t>
      </w:r>
    </w:p>
    <w:p w14:paraId="5D862693" w14:textId="6957D26E" w:rsidR="00232BE0" w:rsidRPr="00DA70DE" w:rsidRDefault="007345E0" w:rsidP="00230CCC">
      <w:pPr>
        <w:pStyle w:val="BulletLast"/>
      </w:pPr>
      <w:r>
        <w:t>f</w:t>
      </w:r>
      <w:r w:rsidR="00232BE0">
        <w:t>lexibility</w:t>
      </w:r>
      <w:r>
        <w:t>.</w:t>
      </w:r>
    </w:p>
    <w:p w14:paraId="7E82C425" w14:textId="77777777" w:rsidR="00232BE0" w:rsidRPr="000824B9" w:rsidRDefault="00232BE0" w:rsidP="00232BE0">
      <w:r w:rsidRPr="000824B9">
        <w:t xml:space="preserve">Both systems are designed to expand and contract in response to the context of the situation. Both provide a structured </w:t>
      </w:r>
      <w:r>
        <w:t xml:space="preserve">and systematic </w:t>
      </w:r>
      <w:r w:rsidRPr="000824B9">
        <w:t xml:space="preserve">approach to </w:t>
      </w:r>
      <w:r>
        <w:t xml:space="preserve">management and </w:t>
      </w:r>
      <w:r w:rsidRPr="000824B9">
        <w:t>decision making.</w:t>
      </w:r>
    </w:p>
    <w:p w14:paraId="79ABAB1C" w14:textId="56A3EAFA" w:rsidR="00232BE0" w:rsidRPr="000824B9" w:rsidRDefault="00232BE0" w:rsidP="00232BE0">
      <w:r w:rsidRPr="000824B9">
        <w:t xml:space="preserve">The </w:t>
      </w:r>
      <w:r>
        <w:t xml:space="preserve">structural </w:t>
      </w:r>
      <w:r w:rsidRPr="000824B9">
        <w:t xml:space="preserve">difference between the </w:t>
      </w:r>
      <w:r>
        <w:t>two</w:t>
      </w:r>
      <w:r w:rsidRPr="000824B9">
        <w:t xml:space="preserve"> systems </w:t>
      </w:r>
      <w:r>
        <w:t>is</w:t>
      </w:r>
      <w:r w:rsidRPr="000824B9">
        <w:t xml:space="preserve"> in the </w:t>
      </w:r>
      <w:r w:rsidR="007345E0">
        <w:t>o</w:t>
      </w:r>
      <w:r w:rsidRPr="000824B9">
        <w:t xml:space="preserve">perations function. BIMS </w:t>
      </w:r>
      <w:r w:rsidR="007345E0">
        <w:t>has</w:t>
      </w:r>
      <w:r w:rsidRPr="000824B9">
        <w:t xml:space="preserve"> a number of </w:t>
      </w:r>
      <w:r w:rsidR="007345E0">
        <w:t>o</w:t>
      </w:r>
      <w:r>
        <w:t xml:space="preserve">perations </w:t>
      </w:r>
      <w:r w:rsidRPr="000824B9">
        <w:t>functional areas</w:t>
      </w:r>
      <w:r w:rsidR="007345E0">
        <w:t>,</w:t>
      </w:r>
      <w:r w:rsidRPr="000824B9">
        <w:t xml:space="preserve"> such as </w:t>
      </w:r>
      <w:r w:rsidR="007345E0">
        <w:t>i</w:t>
      </w:r>
      <w:r w:rsidRPr="000824B9">
        <w:t xml:space="preserve">nvestigations </w:t>
      </w:r>
      <w:r w:rsidR="007345E0">
        <w:t>(</w:t>
      </w:r>
      <w:r w:rsidRPr="000824B9">
        <w:t xml:space="preserve">including </w:t>
      </w:r>
      <w:r w:rsidR="007345E0">
        <w:t>s</w:t>
      </w:r>
      <w:r w:rsidRPr="000824B9">
        <w:t xml:space="preserve">urveillance and </w:t>
      </w:r>
      <w:r w:rsidR="007345E0">
        <w:t>t</w:t>
      </w:r>
      <w:r w:rsidRPr="000824B9">
        <w:t>racing</w:t>
      </w:r>
      <w:r w:rsidR="007345E0">
        <w:t>)</w:t>
      </w:r>
      <w:r w:rsidRPr="000824B9">
        <w:t xml:space="preserve">, </w:t>
      </w:r>
      <w:r w:rsidR="007345E0">
        <w:t>d</w:t>
      </w:r>
      <w:r w:rsidRPr="000824B9">
        <w:t xml:space="preserve">estruction, </w:t>
      </w:r>
      <w:r w:rsidR="007345E0">
        <w:t>d</w:t>
      </w:r>
      <w:r w:rsidRPr="000824B9">
        <w:t xml:space="preserve">isposal and </w:t>
      </w:r>
      <w:r w:rsidR="007345E0">
        <w:t>d</w:t>
      </w:r>
      <w:r w:rsidRPr="000824B9">
        <w:t xml:space="preserve">econtamination. </w:t>
      </w:r>
      <w:r w:rsidR="00224DF1">
        <w:t xml:space="preserve">These functions specifically target biosecurity and are not present in the ICS. </w:t>
      </w:r>
    </w:p>
    <w:p w14:paraId="49D05220" w14:textId="35675848" w:rsidR="00232BE0" w:rsidRDefault="00232BE0" w:rsidP="00232BE0">
      <w:r w:rsidRPr="00470A70">
        <w:t xml:space="preserve">Finance and </w:t>
      </w:r>
      <w:r w:rsidR="007345E0">
        <w:t>a</w:t>
      </w:r>
      <w:r w:rsidRPr="00470A70">
        <w:t>dministration is a key functional area for biosecurity emergencies</w:t>
      </w:r>
      <w:r w:rsidR="007345E0">
        <w:t>,</w:t>
      </w:r>
      <w:r w:rsidRPr="00470A70">
        <w:t xml:space="preserve"> including those for </w:t>
      </w:r>
      <w:r w:rsidRPr="00067884">
        <w:t>a</w:t>
      </w:r>
      <w:r w:rsidRPr="00FC6630">
        <w:t>n EWD response. Finance management must be given a high priority from day</w:t>
      </w:r>
      <w:r w:rsidR="007345E0">
        <w:t> </w:t>
      </w:r>
      <w:r w:rsidRPr="00FC6630">
        <w:t>1 of a response.</w:t>
      </w:r>
      <w:r w:rsidRPr="00470A70">
        <w:rPr>
          <w:b/>
        </w:rPr>
        <w:t xml:space="preserve"> </w:t>
      </w:r>
      <w:r w:rsidRPr="00470A70">
        <w:t xml:space="preserve">See </w:t>
      </w:r>
      <w:r w:rsidR="007345E0">
        <w:t>S</w:t>
      </w:r>
      <w:r w:rsidR="00AA43FC">
        <w:t>e</w:t>
      </w:r>
      <w:r w:rsidR="007345E0">
        <w:t>ction </w:t>
      </w:r>
      <w:r>
        <w:t>10</w:t>
      </w:r>
      <w:r w:rsidR="007345E0">
        <w:t xml:space="preserve"> </w:t>
      </w:r>
      <w:r>
        <w:t>for more information.</w:t>
      </w:r>
    </w:p>
    <w:p w14:paraId="57EB6054" w14:textId="36B78033" w:rsidR="00232BE0" w:rsidRDefault="00232BE0" w:rsidP="00232BE0">
      <w:r w:rsidRPr="000824B9">
        <w:t xml:space="preserve">Logistics, </w:t>
      </w:r>
      <w:r w:rsidR="007345E0">
        <w:t>c</w:t>
      </w:r>
      <w:r w:rsidRPr="000824B9">
        <w:t>ommunications</w:t>
      </w:r>
      <w:r>
        <w:t xml:space="preserve">, </w:t>
      </w:r>
      <w:r w:rsidR="007345E0">
        <w:t>c</w:t>
      </w:r>
      <w:r>
        <w:t xml:space="preserve">ommunity </w:t>
      </w:r>
      <w:r w:rsidR="007345E0">
        <w:t>e</w:t>
      </w:r>
      <w:r>
        <w:t>ngagement</w:t>
      </w:r>
      <w:r w:rsidRPr="000824B9">
        <w:t xml:space="preserve"> and </w:t>
      </w:r>
      <w:r w:rsidR="007345E0">
        <w:t>m</w:t>
      </w:r>
      <w:r w:rsidRPr="000824B9">
        <w:t>edia are basically the same in each system. Planning</w:t>
      </w:r>
      <w:r>
        <w:t xml:space="preserve"> </w:t>
      </w:r>
      <w:r w:rsidRPr="000824B9">
        <w:t>in both systems includes roles with specific technical expertise that underpins the technical management for the given hazard</w:t>
      </w:r>
      <w:r>
        <w:t>.</w:t>
      </w:r>
    </w:p>
    <w:p w14:paraId="7BDB5406" w14:textId="0B023067" w:rsidR="00232BE0" w:rsidRDefault="007345E0" w:rsidP="00232BE0">
      <w:r>
        <w:t xml:space="preserve">Figure 3.3 </w:t>
      </w:r>
      <w:r w:rsidR="00232BE0">
        <w:t xml:space="preserve">presents a model structure for a single state or territory. The </w:t>
      </w:r>
      <w:r>
        <w:t>f</w:t>
      </w:r>
      <w:r w:rsidR="00232BE0">
        <w:t>igure shows the relationship between government</w:t>
      </w:r>
      <w:r>
        <w:t>,</w:t>
      </w:r>
      <w:r w:rsidR="00232BE0">
        <w:t xml:space="preserve"> including emergency management agencies, the EWD response agency(s) and the national</w:t>
      </w:r>
      <w:r>
        <w:t>-</w:t>
      </w:r>
      <w:r w:rsidR="00232BE0">
        <w:t>level forums.</w:t>
      </w:r>
    </w:p>
    <w:p w14:paraId="28335E65" w14:textId="77777777" w:rsidR="00232BE0" w:rsidRPr="00663736" w:rsidRDefault="00232BE0" w:rsidP="00232BE0">
      <w:pPr>
        <w:pStyle w:val="StyleLeft12cm"/>
        <w:spacing w:before="0"/>
        <w:ind w:left="0"/>
        <w:jc w:val="both"/>
        <w:rPr>
          <w:rFonts w:asciiTheme="minorHAnsi" w:hAnsiTheme="minorHAnsi" w:cstheme="minorHAnsi"/>
          <w:szCs w:val="22"/>
        </w:rPr>
      </w:pPr>
    </w:p>
    <w:p w14:paraId="55B9180A" w14:textId="0F9F59E3" w:rsidR="00232BE0" w:rsidRDefault="00B8049C" w:rsidP="00232BE0">
      <w:pPr>
        <w:tabs>
          <w:tab w:val="left" w:pos="2320"/>
        </w:tabs>
        <w:rPr>
          <w:rFonts w:cstheme="minorHAnsi"/>
        </w:rPr>
      </w:pPr>
      <w:r>
        <w:rPr>
          <w:rFonts w:cstheme="minorHAnsi"/>
          <w:noProof/>
        </w:rPr>
        <w:lastRenderedPageBreak/>
        <w:drawing>
          <wp:inline distT="0" distB="0" distL="0" distR="0" wp14:anchorId="6F480A04" wp14:editId="11C1711B">
            <wp:extent cx="5731510" cy="4149725"/>
            <wp:effectExtent l="0" t="0" r="254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ILDRESPONSE-Figure 3.3(23Oct18).PNG"/>
                    <pic:cNvPicPr/>
                  </pic:nvPicPr>
                  <pic:blipFill>
                    <a:blip r:embed="rId18">
                      <a:extLst>
                        <a:ext uri="{28A0092B-C50C-407E-A947-70E740481C1C}">
                          <a14:useLocalDpi xmlns:a14="http://schemas.microsoft.com/office/drawing/2010/main" val="0"/>
                        </a:ext>
                      </a:extLst>
                    </a:blip>
                    <a:stretch>
                      <a:fillRect/>
                    </a:stretch>
                  </pic:blipFill>
                  <pic:spPr>
                    <a:xfrm>
                      <a:off x="0" y="0"/>
                      <a:ext cx="5731510" cy="4149725"/>
                    </a:xfrm>
                    <a:prstGeom prst="rect">
                      <a:avLst/>
                    </a:prstGeom>
                  </pic:spPr>
                </pic:pic>
              </a:graphicData>
            </a:graphic>
          </wp:inline>
        </w:drawing>
      </w:r>
    </w:p>
    <w:p w14:paraId="32AC9DEE" w14:textId="0B283B81" w:rsidR="00CB35FB" w:rsidRDefault="00CB35FB" w:rsidP="00CB35FB">
      <w:pPr>
        <w:pStyle w:val="TFAbbrevs"/>
      </w:pPr>
      <w:r>
        <w:t>CSIRO-AAHL = CSIRO Australian Animal Health Laboratory</w:t>
      </w:r>
    </w:p>
    <w:p w14:paraId="38DC1F2F" w14:textId="24F19CD0" w:rsidR="00232BE0" w:rsidRDefault="00B8049C" w:rsidP="00CB35FB">
      <w:pPr>
        <w:pStyle w:val="TFListNotesSpace"/>
      </w:pPr>
      <w:r w:rsidRPr="00B8049C">
        <w:rPr>
          <w:b/>
        </w:rPr>
        <w:t>a</w:t>
      </w:r>
      <w:r>
        <w:t xml:space="preserve"> </w:t>
      </w:r>
      <w:r w:rsidR="00232BE0" w:rsidRPr="00A30B1D">
        <w:t>Partner membership or representation</w:t>
      </w:r>
    </w:p>
    <w:p w14:paraId="6FA528F6" w14:textId="6E07A8FF" w:rsidR="00232BE0" w:rsidRPr="00766FF7" w:rsidRDefault="00232BE0" w:rsidP="00232BE0">
      <w:pPr>
        <w:pStyle w:val="FigureName"/>
      </w:pPr>
      <w:bookmarkStart w:id="42" w:name="_Toc527712263"/>
      <w:r w:rsidRPr="00766FF7">
        <w:t xml:space="preserve">Figure </w:t>
      </w:r>
      <w:r w:rsidR="007345E0">
        <w:t>3.3</w:t>
      </w:r>
      <w:r w:rsidRPr="00766FF7">
        <w:tab/>
        <w:t>Model response structures in a single state or territory</w:t>
      </w:r>
      <w:bookmarkEnd w:id="42"/>
    </w:p>
    <w:p w14:paraId="2E214BDF" w14:textId="023E3E6F" w:rsidR="00232BE0" w:rsidRPr="004B3655" w:rsidRDefault="00A66BEF" w:rsidP="006E7235">
      <w:pPr>
        <w:pStyle w:val="Heading3"/>
      </w:pPr>
      <w:bookmarkStart w:id="43" w:name="_Toc529783769"/>
      <w:r>
        <w:t>3.4.3</w:t>
      </w:r>
      <w:r>
        <w:tab/>
      </w:r>
      <w:r w:rsidR="00232BE0" w:rsidRPr="004B3655">
        <w:t>State</w:t>
      </w:r>
      <w:r w:rsidR="00232BE0">
        <w:rPr>
          <w:rFonts w:cstheme="minorHAnsi"/>
        </w:rPr>
        <w:t xml:space="preserve"> </w:t>
      </w:r>
      <w:r w:rsidR="00232BE0" w:rsidRPr="00C61934">
        <w:rPr>
          <w:rFonts w:cstheme="minorHAnsi"/>
        </w:rPr>
        <w:t>and</w:t>
      </w:r>
      <w:r w:rsidR="00232BE0">
        <w:rPr>
          <w:rFonts w:cstheme="minorHAnsi"/>
        </w:rPr>
        <w:t xml:space="preserve"> </w:t>
      </w:r>
      <w:r w:rsidR="00232BE0">
        <w:t>t</w:t>
      </w:r>
      <w:r w:rsidR="00232BE0" w:rsidRPr="004B3655">
        <w:t xml:space="preserve">erritory </w:t>
      </w:r>
      <w:r w:rsidR="00232BE0">
        <w:t>c</w:t>
      </w:r>
      <w:r w:rsidR="00232BE0" w:rsidRPr="004B3655">
        <w:t>oordination</w:t>
      </w:r>
      <w:bookmarkEnd w:id="43"/>
    </w:p>
    <w:p w14:paraId="4E687012" w14:textId="536BFCEC" w:rsidR="00232BE0" w:rsidRPr="000824B9" w:rsidRDefault="00232BE0" w:rsidP="00232BE0">
      <w:r>
        <w:t>Coordination in each s</w:t>
      </w:r>
      <w:r w:rsidRPr="000824B9">
        <w:t>tate</w:t>
      </w:r>
      <w:r>
        <w:t xml:space="preserve"> and </w:t>
      </w:r>
      <w:r w:rsidRPr="000824B9">
        <w:t xml:space="preserve">territory is undertaken from the </w:t>
      </w:r>
      <w:bookmarkStart w:id="44" w:name="_Hlk527623164"/>
      <w:r w:rsidR="00D11F01">
        <w:t>State Coordination Centre</w:t>
      </w:r>
      <w:bookmarkEnd w:id="44"/>
      <w:r w:rsidR="00D11F01">
        <w:t xml:space="preserve"> (</w:t>
      </w:r>
      <w:r w:rsidRPr="000824B9">
        <w:t>SCC</w:t>
      </w:r>
      <w:r w:rsidR="00D11F01">
        <w:t>), which</w:t>
      </w:r>
      <w:r w:rsidRPr="000824B9">
        <w:t xml:space="preserve"> is usually located within</w:t>
      </w:r>
      <w:r>
        <w:t xml:space="preserve"> </w:t>
      </w:r>
      <w:r w:rsidR="007345E0">
        <w:t xml:space="preserve">or </w:t>
      </w:r>
      <w:r w:rsidRPr="000824B9">
        <w:t xml:space="preserve">near the head office of the lead agency. </w:t>
      </w:r>
    </w:p>
    <w:p w14:paraId="17A03603" w14:textId="19EBECFB" w:rsidR="00232BE0" w:rsidRPr="000824B9" w:rsidRDefault="00232BE0" w:rsidP="00232BE0">
      <w:r w:rsidRPr="000824B9">
        <w:t xml:space="preserve">The SCC has responsibility for overall coordination of </w:t>
      </w:r>
      <w:r w:rsidR="00D11F01">
        <w:t xml:space="preserve">policy at the </w:t>
      </w:r>
      <w:r w:rsidRPr="000824B9">
        <w:t>state</w:t>
      </w:r>
      <w:r>
        <w:t xml:space="preserve"> or territory</w:t>
      </w:r>
      <w:r w:rsidRPr="000824B9">
        <w:t xml:space="preserve"> level</w:t>
      </w:r>
      <w:r w:rsidR="00D11F01">
        <w:t>;</w:t>
      </w:r>
      <w:r w:rsidRPr="000824B9">
        <w:t xml:space="preserve"> direction of the response, strategy and tactics</w:t>
      </w:r>
      <w:r w:rsidR="00D11F01">
        <w:t>;</w:t>
      </w:r>
      <w:r w:rsidRPr="000824B9">
        <w:t xml:space="preserve"> state</w:t>
      </w:r>
      <w:r w:rsidR="00D11F01">
        <w:t>-</w:t>
      </w:r>
      <w:r>
        <w:t xml:space="preserve"> or territory</w:t>
      </w:r>
      <w:r w:rsidR="00D11F01">
        <w:t>-</w:t>
      </w:r>
      <w:r w:rsidRPr="000824B9">
        <w:t>wide resource management</w:t>
      </w:r>
      <w:r w:rsidR="00D11F01">
        <w:t>;</w:t>
      </w:r>
      <w:r w:rsidRPr="000824B9">
        <w:t xml:space="preserve"> state</w:t>
      </w:r>
      <w:r w:rsidR="00D11F01">
        <w:t>-</w:t>
      </w:r>
      <w:r>
        <w:t xml:space="preserve"> or territory</w:t>
      </w:r>
      <w:r w:rsidR="00D11F01">
        <w:t>-</w:t>
      </w:r>
      <w:r w:rsidRPr="000824B9">
        <w:t>wide communication with stakeholders</w:t>
      </w:r>
      <w:r w:rsidR="00D11F01">
        <w:t>;</w:t>
      </w:r>
      <w:r w:rsidRPr="000824B9">
        <w:t xml:space="preserve"> and liaison with supporting agencies and partners. </w:t>
      </w:r>
    </w:p>
    <w:p w14:paraId="7844D1E6" w14:textId="44758861" w:rsidR="00232BE0" w:rsidRPr="000824B9" w:rsidRDefault="00232BE0" w:rsidP="00232BE0">
      <w:r w:rsidRPr="000824B9">
        <w:t>The SCC will liaise closely with state</w:t>
      </w:r>
      <w:r>
        <w:t xml:space="preserve"> </w:t>
      </w:r>
      <w:r w:rsidR="00D11F01">
        <w:t>or</w:t>
      </w:r>
      <w:r>
        <w:t xml:space="preserve"> </w:t>
      </w:r>
      <w:r w:rsidRPr="000824B9">
        <w:t>territory minister(s), other state</w:t>
      </w:r>
      <w:r>
        <w:t xml:space="preserve"> and </w:t>
      </w:r>
      <w:r w:rsidRPr="000824B9">
        <w:t>territory SCCs</w:t>
      </w:r>
      <w:r w:rsidR="00D11F01">
        <w:t>,</w:t>
      </w:r>
      <w:r w:rsidRPr="000824B9">
        <w:t xml:space="preserve"> and the Australian Government</w:t>
      </w:r>
      <w:r w:rsidR="00D11F01">
        <w:t xml:space="preserve"> – for example, it will be </w:t>
      </w:r>
      <w:r w:rsidRPr="000824B9">
        <w:t>represent</w:t>
      </w:r>
      <w:r w:rsidR="00D11F01">
        <w:t>ed</w:t>
      </w:r>
      <w:r w:rsidRPr="000824B9">
        <w:t xml:space="preserve"> on the NBMG and </w:t>
      </w:r>
      <w:r w:rsidR="00D11F01">
        <w:t xml:space="preserve">the </w:t>
      </w:r>
      <w:r w:rsidRPr="000824B9">
        <w:t>NBMCC.</w:t>
      </w:r>
    </w:p>
    <w:p w14:paraId="03356955" w14:textId="16AE1C8C" w:rsidR="00232BE0" w:rsidRPr="000824B9" w:rsidRDefault="00232BE0" w:rsidP="00232BE0">
      <w:r w:rsidRPr="000824B9">
        <w:t xml:space="preserve">Significant resources will need to be allocated to </w:t>
      </w:r>
      <w:r w:rsidR="00D11F01">
        <w:t xml:space="preserve">the </w:t>
      </w:r>
      <w:r w:rsidR="00430D9A">
        <w:t>P</w:t>
      </w:r>
      <w:r w:rsidRPr="000824B9">
        <w:t xml:space="preserve">lanning </w:t>
      </w:r>
      <w:r w:rsidR="00D11F01">
        <w:t xml:space="preserve">function </w:t>
      </w:r>
      <w:r w:rsidRPr="000824B9">
        <w:t>in the SCC to develop and maintain key policy documents</w:t>
      </w:r>
      <w:r w:rsidR="00D11F01">
        <w:t>. These include</w:t>
      </w:r>
      <w:r>
        <w:t xml:space="preserve"> the</w:t>
      </w:r>
      <w:r w:rsidRPr="000824B9">
        <w:t xml:space="preserve"> case definition, </w:t>
      </w:r>
      <w:r>
        <w:t xml:space="preserve">legal instruments, </w:t>
      </w:r>
      <w:r w:rsidRPr="000824B9">
        <w:t xml:space="preserve">reports </w:t>
      </w:r>
      <w:r w:rsidR="00D11F01">
        <w:t>(</w:t>
      </w:r>
      <w:r w:rsidRPr="000824B9">
        <w:t>including national</w:t>
      </w:r>
      <w:r w:rsidR="00D11F01">
        <w:t>-</w:t>
      </w:r>
      <w:r w:rsidRPr="000824B9">
        <w:t>level situation reports</w:t>
      </w:r>
      <w:r w:rsidR="00D11F01">
        <w:t>)</w:t>
      </w:r>
      <w:r w:rsidRPr="000824B9">
        <w:t>, and documentation for the NBMG and NBMCC</w:t>
      </w:r>
      <w:r w:rsidR="00EF0F8D">
        <w:t xml:space="preserve">. </w:t>
      </w:r>
      <w:r w:rsidRPr="000824B9">
        <w:t xml:space="preserve"> </w:t>
      </w:r>
      <w:r w:rsidR="00EF0F8D" w:rsidRPr="00430D9A">
        <w:t>The latter includes</w:t>
      </w:r>
      <w:r w:rsidRPr="00430D9A">
        <w:t xml:space="preserve"> the NRP, </w:t>
      </w:r>
      <w:r w:rsidR="00EF0F8D" w:rsidRPr="00430D9A">
        <w:t>the s</w:t>
      </w:r>
      <w:r w:rsidRPr="00430D9A">
        <w:t xml:space="preserve">trategic </w:t>
      </w:r>
      <w:r w:rsidR="00EF0F8D" w:rsidRPr="00430D9A">
        <w:t>r</w:t>
      </w:r>
      <w:r w:rsidRPr="00430D9A">
        <w:t xml:space="preserve">isk </w:t>
      </w:r>
      <w:r w:rsidR="00EF0F8D" w:rsidRPr="00430D9A">
        <w:t>a</w:t>
      </w:r>
      <w:r w:rsidRPr="00430D9A">
        <w:t>ssessment</w:t>
      </w:r>
      <w:r w:rsidR="00EF0F8D" w:rsidRPr="00430D9A">
        <w:t xml:space="preserve"> (see Section</w:t>
      </w:r>
      <w:r w:rsidR="00430D9A">
        <w:t> 6.5</w:t>
      </w:r>
      <w:r w:rsidR="00EF0F8D" w:rsidRPr="00430D9A">
        <w:t>)</w:t>
      </w:r>
      <w:r w:rsidRPr="00430D9A">
        <w:t xml:space="preserve">, </w:t>
      </w:r>
      <w:r w:rsidR="00EF0F8D" w:rsidRPr="00430D9A">
        <w:t>the cost–b</w:t>
      </w:r>
      <w:r w:rsidRPr="00430D9A">
        <w:t xml:space="preserve">enefit </w:t>
      </w:r>
      <w:r w:rsidR="00EF0F8D" w:rsidRPr="00430D9A">
        <w:t>a</w:t>
      </w:r>
      <w:r w:rsidRPr="00430D9A">
        <w:t>nalysis</w:t>
      </w:r>
      <w:r w:rsidR="00EF0F8D" w:rsidRPr="00430D9A">
        <w:t xml:space="preserve"> (see Section</w:t>
      </w:r>
      <w:r w:rsidR="00430D9A">
        <w:t> 6.2</w:t>
      </w:r>
      <w:r w:rsidR="00EF0F8D" w:rsidRPr="00430D9A">
        <w:t>)</w:t>
      </w:r>
      <w:r w:rsidRPr="00430D9A">
        <w:t xml:space="preserve">, </w:t>
      </w:r>
      <w:r w:rsidR="00EF0F8D" w:rsidRPr="00430D9A">
        <w:t>the n</w:t>
      </w:r>
      <w:r w:rsidRPr="00430D9A">
        <w:t xml:space="preserve">ational </w:t>
      </w:r>
      <w:r w:rsidR="00EF0F8D" w:rsidRPr="00430D9A">
        <w:t>s</w:t>
      </w:r>
      <w:r w:rsidRPr="00430D9A">
        <w:t xml:space="preserve">ignificance </w:t>
      </w:r>
      <w:r w:rsidR="00EF0F8D" w:rsidRPr="00430D9A">
        <w:t>a</w:t>
      </w:r>
      <w:r w:rsidRPr="00430D9A">
        <w:t xml:space="preserve">ssessment </w:t>
      </w:r>
      <w:r w:rsidR="00EF0F8D" w:rsidRPr="00430D9A">
        <w:t>(see Section</w:t>
      </w:r>
      <w:r w:rsidR="00430D9A">
        <w:t> 6.2</w:t>
      </w:r>
      <w:r w:rsidR="00EF0F8D" w:rsidRPr="00430D9A">
        <w:t xml:space="preserve">) </w:t>
      </w:r>
      <w:r w:rsidRPr="00430D9A">
        <w:t xml:space="preserve">and a </w:t>
      </w:r>
      <w:r w:rsidR="00EF0F8D" w:rsidRPr="00430D9A">
        <w:t>c</w:t>
      </w:r>
      <w:r w:rsidRPr="00430D9A">
        <w:t xml:space="preserve">oordination </w:t>
      </w:r>
      <w:r w:rsidR="00EF0F8D" w:rsidRPr="00430D9A">
        <w:t>p</w:t>
      </w:r>
      <w:r w:rsidRPr="00430D9A">
        <w:t>lan to operationalise the NRP for the state or territory. The workl</w:t>
      </w:r>
      <w:r w:rsidRPr="000824B9">
        <w:t>oad will be significant initially</w:t>
      </w:r>
      <w:r w:rsidR="00EF0F8D">
        <w:t xml:space="preserve">, and </w:t>
      </w:r>
      <w:r w:rsidRPr="000824B9">
        <w:t xml:space="preserve">ongoing throughout the response. </w:t>
      </w:r>
    </w:p>
    <w:p w14:paraId="33169043" w14:textId="3FA9D271" w:rsidR="00232BE0" w:rsidRPr="000824B9" w:rsidRDefault="00EF0F8D" w:rsidP="00232BE0">
      <w:r>
        <w:lastRenderedPageBreak/>
        <w:t>Most</w:t>
      </w:r>
      <w:r w:rsidR="00232BE0" w:rsidRPr="000824B9">
        <w:t xml:space="preserve"> communications and media</w:t>
      </w:r>
      <w:r>
        <w:t>,</w:t>
      </w:r>
      <w:r w:rsidR="00232BE0" w:rsidRPr="000824B9">
        <w:t xml:space="preserve"> other than for the community in the immediate</w:t>
      </w:r>
      <w:r>
        <w:t xml:space="preserve">ly </w:t>
      </w:r>
      <w:r w:rsidR="00232BE0" w:rsidRPr="000824B9">
        <w:t>affected area</w:t>
      </w:r>
      <w:r w:rsidR="00232BE0">
        <w:t xml:space="preserve"> or </w:t>
      </w:r>
      <w:r w:rsidR="00232BE0" w:rsidRPr="000824B9">
        <w:t>region</w:t>
      </w:r>
      <w:r>
        <w:t>,</w:t>
      </w:r>
      <w:r w:rsidR="00232BE0" w:rsidRPr="000824B9">
        <w:t xml:space="preserve"> will be managed and led from the SCC. </w:t>
      </w:r>
    </w:p>
    <w:p w14:paraId="03A91E88" w14:textId="42F5D2ED" w:rsidR="00232BE0" w:rsidRPr="000824B9" w:rsidRDefault="00232BE0" w:rsidP="00232BE0">
      <w:r w:rsidRPr="000824B9">
        <w:t>Finance management is the domain of the SCC</w:t>
      </w:r>
      <w:r>
        <w:t xml:space="preserve">. It </w:t>
      </w:r>
      <w:r w:rsidRPr="000824B9">
        <w:t xml:space="preserve">must be adequately and appropriately resourced throughout a response. Finance management will work closely with the </w:t>
      </w:r>
      <w:bookmarkStart w:id="45" w:name="_Hlk527623155"/>
      <w:r w:rsidR="00EF0F8D">
        <w:t>Local Control Centre</w:t>
      </w:r>
      <w:bookmarkEnd w:id="45"/>
      <w:r w:rsidR="00EF0F8D">
        <w:t xml:space="preserve"> (</w:t>
      </w:r>
      <w:r w:rsidRPr="000824B9">
        <w:t>LCC</w:t>
      </w:r>
      <w:r w:rsidR="00EF0F8D">
        <w:t>)</w:t>
      </w:r>
      <w:r w:rsidRPr="000824B9">
        <w:t xml:space="preserve"> to ensure </w:t>
      </w:r>
      <w:r w:rsidR="00EF0F8D">
        <w:t xml:space="preserve">that </w:t>
      </w:r>
      <w:r w:rsidRPr="000824B9">
        <w:t>a system</w:t>
      </w:r>
      <w:r>
        <w:t>s</w:t>
      </w:r>
      <w:r w:rsidRPr="000824B9">
        <w:t xml:space="preserve"> approach is take</w:t>
      </w:r>
      <w:r>
        <w:t>n</w:t>
      </w:r>
      <w:r w:rsidRPr="000824B9">
        <w:t xml:space="preserve"> to resource acquisition and disposal, accounts receivable and payable, and budget management. </w:t>
      </w:r>
    </w:p>
    <w:p w14:paraId="0A04F6C4" w14:textId="70FB1A4E" w:rsidR="00232BE0" w:rsidRPr="000824B9" w:rsidRDefault="00232BE0" w:rsidP="00232BE0">
      <w:pPr>
        <w:pStyle w:val="NormalBeforeBullet"/>
      </w:pPr>
      <w:r w:rsidRPr="000824B9">
        <w:t xml:space="preserve">Consideration </w:t>
      </w:r>
      <w:r>
        <w:t>will</w:t>
      </w:r>
      <w:r w:rsidRPr="000824B9">
        <w:t xml:space="preserve"> be given to forming one or more group</w:t>
      </w:r>
      <w:r>
        <w:t xml:space="preserve">s </w:t>
      </w:r>
      <w:r w:rsidR="00EF0F8D">
        <w:t>or</w:t>
      </w:r>
      <w:r>
        <w:t xml:space="preserve"> </w:t>
      </w:r>
      <w:r w:rsidRPr="000824B9">
        <w:t>committees that will support the activities of the SCC. These may include</w:t>
      </w:r>
      <w:r>
        <w:t>:</w:t>
      </w:r>
    </w:p>
    <w:p w14:paraId="7B7B68E2" w14:textId="03C27BEB" w:rsidR="00232BE0" w:rsidRPr="00DA70DE" w:rsidRDefault="00EF0F8D" w:rsidP="00232BE0">
      <w:pPr>
        <w:pStyle w:val="Bullet"/>
      </w:pPr>
      <w:r>
        <w:t>s</w:t>
      </w:r>
      <w:r w:rsidR="00232BE0" w:rsidRPr="00DA70DE">
        <w:t>tate</w:t>
      </w:r>
      <w:r w:rsidR="00232BE0">
        <w:t xml:space="preserve"> or </w:t>
      </w:r>
      <w:r w:rsidR="00232BE0" w:rsidRPr="00DA70DE">
        <w:t xml:space="preserve">territory </w:t>
      </w:r>
      <w:r w:rsidR="00232BE0">
        <w:t>m</w:t>
      </w:r>
      <w:r w:rsidR="00232BE0" w:rsidRPr="00DA70DE">
        <w:t>anagement group that includes representatives from the key stakeholder agencies</w:t>
      </w:r>
      <w:r w:rsidR="00232BE0">
        <w:t xml:space="preserve"> </w:t>
      </w:r>
      <w:r>
        <w:t>and</w:t>
      </w:r>
      <w:r w:rsidR="00232BE0">
        <w:t xml:space="preserve"> </w:t>
      </w:r>
      <w:r w:rsidR="00232BE0" w:rsidRPr="00DA70DE">
        <w:t xml:space="preserve">partners </w:t>
      </w:r>
      <w:r>
        <w:t xml:space="preserve">– for example, </w:t>
      </w:r>
      <w:r w:rsidR="00232BE0" w:rsidRPr="00DA70DE">
        <w:t xml:space="preserve">environment, primary industries, </w:t>
      </w:r>
      <w:r>
        <w:t xml:space="preserve">human </w:t>
      </w:r>
      <w:r w:rsidR="00232BE0" w:rsidRPr="00DA70DE">
        <w:t xml:space="preserve">health </w:t>
      </w:r>
      <w:r w:rsidR="00232BE0">
        <w:t xml:space="preserve">and </w:t>
      </w:r>
      <w:r w:rsidR="00232BE0" w:rsidRPr="00DA70DE">
        <w:t>wildlife health</w:t>
      </w:r>
    </w:p>
    <w:p w14:paraId="4873A255" w14:textId="16E978BF" w:rsidR="00232BE0" w:rsidRPr="00DA70DE" w:rsidRDefault="00EF0F8D" w:rsidP="00232BE0">
      <w:pPr>
        <w:pStyle w:val="Bullet"/>
      </w:pPr>
      <w:r>
        <w:t>t</w:t>
      </w:r>
      <w:r w:rsidR="00232BE0" w:rsidRPr="00DA70DE">
        <w:t>echnical review group that includes experts with knowledge, experience and expertise that is relevant to the context</w:t>
      </w:r>
      <w:r w:rsidR="00232BE0">
        <w:t>, the</w:t>
      </w:r>
      <w:r w:rsidR="00232BE0" w:rsidRPr="00DA70DE">
        <w:t xml:space="preserve"> </w:t>
      </w:r>
      <w:r>
        <w:t xml:space="preserve">disease </w:t>
      </w:r>
      <w:r w:rsidR="00232BE0" w:rsidRPr="00DA70DE">
        <w:t xml:space="preserve">hosts, </w:t>
      </w:r>
      <w:r w:rsidR="00232BE0">
        <w:t>the EWD</w:t>
      </w:r>
      <w:r w:rsidR="00232BE0" w:rsidRPr="00DA70DE">
        <w:t xml:space="preserve">, </w:t>
      </w:r>
      <w:r w:rsidR="00232BE0">
        <w:t xml:space="preserve">diagnosis and host </w:t>
      </w:r>
      <w:r w:rsidR="00232BE0" w:rsidRPr="00DA70DE">
        <w:t>population</w:t>
      </w:r>
      <w:r w:rsidR="00232BE0">
        <w:t>s</w:t>
      </w:r>
    </w:p>
    <w:p w14:paraId="17277704" w14:textId="790945A1" w:rsidR="00232BE0" w:rsidRPr="00DA70DE" w:rsidRDefault="00EF0F8D" w:rsidP="00230CCC">
      <w:pPr>
        <w:pStyle w:val="BulletLast"/>
      </w:pPr>
      <w:r>
        <w:t>l</w:t>
      </w:r>
      <w:r w:rsidR="00232BE0" w:rsidRPr="00DA70DE">
        <w:t>iaison group</w:t>
      </w:r>
      <w:r w:rsidR="00232BE0">
        <w:t xml:space="preserve"> </w:t>
      </w:r>
      <w:r w:rsidR="00232BE0" w:rsidRPr="00DA70DE">
        <w:t xml:space="preserve">that includes representatives from key community special interest groups and partners or industry-based groups </w:t>
      </w:r>
      <w:r>
        <w:t xml:space="preserve">– for example, </w:t>
      </w:r>
      <w:r w:rsidR="00232BE0">
        <w:t>wildlife carer and rehabilitation groups</w:t>
      </w:r>
      <w:r w:rsidR="00232BE0" w:rsidRPr="00DA70DE">
        <w:t xml:space="preserve">, wildlife veterinarians, </w:t>
      </w:r>
      <w:r>
        <w:t xml:space="preserve">and </w:t>
      </w:r>
      <w:r w:rsidR="00232BE0" w:rsidRPr="00DA70DE">
        <w:t>zoos</w:t>
      </w:r>
      <w:r w:rsidR="00232BE0">
        <w:t>.</w:t>
      </w:r>
    </w:p>
    <w:p w14:paraId="600D89A7" w14:textId="73C13835" w:rsidR="00232BE0" w:rsidRPr="00DA70DE" w:rsidRDefault="00232BE0" w:rsidP="00232BE0">
      <w:r w:rsidRPr="00DA70DE">
        <w:t>The SCC will have a close working relationship with the emergency management agencies and organisations</w:t>
      </w:r>
      <w:r w:rsidR="00EF0F8D">
        <w:t>,</w:t>
      </w:r>
      <w:r w:rsidRPr="00DA70DE">
        <w:t xml:space="preserve"> including </w:t>
      </w:r>
      <w:r w:rsidR="00EF0F8D">
        <w:t>nongovernment organisations,</w:t>
      </w:r>
      <w:r w:rsidR="00EF0F8D" w:rsidRPr="00DA70DE">
        <w:t xml:space="preserve"> </w:t>
      </w:r>
      <w:r w:rsidRPr="00DA70DE">
        <w:t>through the emergency management arrangements for the state</w:t>
      </w:r>
      <w:r>
        <w:t xml:space="preserve"> or </w:t>
      </w:r>
      <w:r w:rsidRPr="00DA70DE">
        <w:t>territory.</w:t>
      </w:r>
    </w:p>
    <w:p w14:paraId="17A4CAB7" w14:textId="7FBB0E37" w:rsidR="00232BE0" w:rsidRPr="004B3655" w:rsidRDefault="00A66BEF" w:rsidP="006E7235">
      <w:pPr>
        <w:pStyle w:val="Heading2"/>
      </w:pPr>
      <w:bookmarkStart w:id="46" w:name="_Toc529783770"/>
      <w:r>
        <w:t>3.5</w:t>
      </w:r>
      <w:r>
        <w:tab/>
      </w:r>
      <w:r w:rsidR="00BD560A">
        <w:t>Response arrangements – r</w:t>
      </w:r>
      <w:r w:rsidR="00232BE0" w:rsidRPr="004B3655">
        <w:t>egion</w:t>
      </w:r>
      <w:r w:rsidR="00BD560A">
        <w:t>al</w:t>
      </w:r>
      <w:r w:rsidR="00232BE0">
        <w:t xml:space="preserve"> or l</w:t>
      </w:r>
      <w:r w:rsidR="00232BE0" w:rsidRPr="004B3655">
        <w:t>ocal</w:t>
      </w:r>
      <w:r w:rsidR="00232BE0">
        <w:t xml:space="preserve"> </w:t>
      </w:r>
      <w:r w:rsidR="00BD560A">
        <w:t>level</w:t>
      </w:r>
      <w:bookmarkEnd w:id="46"/>
    </w:p>
    <w:p w14:paraId="280191C5" w14:textId="69826773" w:rsidR="00232BE0" w:rsidRPr="00DA70DE" w:rsidRDefault="007D1EC1" w:rsidP="00232BE0">
      <w:r>
        <w:t>M</w:t>
      </w:r>
      <w:r w:rsidR="00232BE0" w:rsidRPr="00DA70DE">
        <w:t xml:space="preserve">anagement and control of the </w:t>
      </w:r>
      <w:r w:rsidR="00232BE0">
        <w:t>response</w:t>
      </w:r>
      <w:r w:rsidR="00232BE0" w:rsidRPr="00DA70DE">
        <w:t xml:space="preserve"> in the </w:t>
      </w:r>
      <w:r>
        <w:t>affected</w:t>
      </w:r>
      <w:r w:rsidRPr="00DA70DE">
        <w:t xml:space="preserve"> </w:t>
      </w:r>
      <w:r w:rsidR="00232BE0" w:rsidRPr="00DA70DE">
        <w:t>region</w:t>
      </w:r>
      <w:r w:rsidR="00232BE0">
        <w:t xml:space="preserve"> or </w:t>
      </w:r>
      <w:r w:rsidR="00232BE0" w:rsidRPr="00DA70DE">
        <w:t xml:space="preserve">local area will be from an LCC. More than one LCC may be present </w:t>
      </w:r>
      <w:r w:rsidR="008E63B5">
        <w:t xml:space="preserve">if </w:t>
      </w:r>
      <w:r w:rsidR="00232BE0" w:rsidRPr="00DA70DE">
        <w:t xml:space="preserve">more than </w:t>
      </w:r>
      <w:r w:rsidR="002E148A">
        <w:t>one</w:t>
      </w:r>
      <w:r w:rsidR="00232BE0" w:rsidRPr="00DA70DE">
        <w:t xml:space="preserve"> region</w:t>
      </w:r>
      <w:r w:rsidR="00232BE0">
        <w:t xml:space="preserve"> or local </w:t>
      </w:r>
      <w:r w:rsidR="00232BE0" w:rsidRPr="00DA70DE">
        <w:t xml:space="preserve">area </w:t>
      </w:r>
      <w:r w:rsidR="008E63B5">
        <w:t xml:space="preserve">is </w:t>
      </w:r>
      <w:r w:rsidR="00232BE0" w:rsidRPr="00DA70DE">
        <w:t>affected in a state</w:t>
      </w:r>
      <w:r w:rsidR="00232BE0">
        <w:t xml:space="preserve"> or </w:t>
      </w:r>
      <w:r w:rsidR="00232BE0" w:rsidRPr="00DA70DE">
        <w:t xml:space="preserve">territory. An LCC may be supported by </w:t>
      </w:r>
      <w:r w:rsidR="002E148A">
        <w:t>one</w:t>
      </w:r>
      <w:r w:rsidR="00232BE0" w:rsidRPr="00DA70DE">
        <w:t xml:space="preserve"> or more </w:t>
      </w:r>
      <w:bookmarkStart w:id="47" w:name="_Hlk527623126"/>
      <w:r w:rsidR="00232BE0" w:rsidRPr="00DA70DE">
        <w:t>Forward Command Posts</w:t>
      </w:r>
      <w:bookmarkEnd w:id="47"/>
      <w:r w:rsidR="00232BE0" w:rsidRPr="00DA70DE">
        <w:t xml:space="preserve"> (FCP) that can be located nearer the areas of field activity and resource availability. </w:t>
      </w:r>
    </w:p>
    <w:p w14:paraId="5F41EA63" w14:textId="129CF607" w:rsidR="00232BE0" w:rsidRDefault="00232BE0" w:rsidP="00232BE0">
      <w:r w:rsidRPr="00DA70DE">
        <w:t>All the BIMS</w:t>
      </w:r>
      <w:r>
        <w:t xml:space="preserve"> and </w:t>
      </w:r>
      <w:r w:rsidRPr="00DA70DE">
        <w:t>ICS functions will be present in an LCC</w:t>
      </w:r>
      <w:r w:rsidR="008E63B5">
        <w:t>. M</w:t>
      </w:r>
      <w:r w:rsidRPr="00DA70DE">
        <w:t xml:space="preserve">any of the LCC personnel </w:t>
      </w:r>
      <w:r w:rsidR="008E63B5">
        <w:t xml:space="preserve">will be </w:t>
      </w:r>
      <w:r w:rsidRPr="00DA70DE">
        <w:t xml:space="preserve">in </w:t>
      </w:r>
      <w:r w:rsidR="008E63B5">
        <w:t>o</w:t>
      </w:r>
      <w:r w:rsidRPr="00DA70DE">
        <w:t>perations</w:t>
      </w:r>
      <w:r w:rsidR="008E63B5">
        <w:t>,</w:t>
      </w:r>
      <w:r w:rsidRPr="00DA70DE">
        <w:t xml:space="preserve"> undertaking field activities. </w:t>
      </w:r>
    </w:p>
    <w:p w14:paraId="7EC9BE2A" w14:textId="5FF86E2F" w:rsidR="00232BE0" w:rsidRPr="00DA70DE" w:rsidRDefault="00232BE0" w:rsidP="00232BE0">
      <w:r w:rsidRPr="00DA70DE">
        <w:t xml:space="preserve">LCC Planning will take </w:t>
      </w:r>
      <w:r w:rsidR="008E63B5">
        <w:t>its</w:t>
      </w:r>
      <w:r w:rsidR="008E63B5" w:rsidRPr="00DA70DE">
        <w:t xml:space="preserve"> </w:t>
      </w:r>
      <w:r w:rsidRPr="00DA70DE">
        <w:t>lead from SCC Planning</w:t>
      </w:r>
      <w:r w:rsidR="008E63B5">
        <w:t>,</w:t>
      </w:r>
      <w:r w:rsidRPr="00DA70DE">
        <w:t xml:space="preserve"> and documents such as the </w:t>
      </w:r>
      <w:r>
        <w:t>NRP</w:t>
      </w:r>
      <w:r w:rsidRPr="00DA70DE">
        <w:t xml:space="preserve"> and state</w:t>
      </w:r>
      <w:r w:rsidR="008E63B5">
        <w:t>-</w:t>
      </w:r>
      <w:r>
        <w:t xml:space="preserve"> or territory</w:t>
      </w:r>
      <w:r w:rsidR="008E63B5">
        <w:t>-</w:t>
      </w:r>
      <w:r w:rsidRPr="00DA70DE">
        <w:t xml:space="preserve">level policy documents </w:t>
      </w:r>
      <w:r w:rsidR="008E63B5">
        <w:t>(</w:t>
      </w:r>
      <w:r w:rsidRPr="00DA70DE">
        <w:t>such as the case definition</w:t>
      </w:r>
      <w:r w:rsidR="008E63B5">
        <w:t>)</w:t>
      </w:r>
      <w:r w:rsidRPr="00DA70DE">
        <w:t>. A time</w:t>
      </w:r>
      <w:r w:rsidR="008E63B5">
        <w:t>-</w:t>
      </w:r>
      <w:r w:rsidRPr="00DA70DE">
        <w:t>critical output from LCC Planning is the situation report. The situation report must synthesi</w:t>
      </w:r>
      <w:r w:rsidR="008E63B5">
        <w:t>s</w:t>
      </w:r>
      <w:r w:rsidRPr="00DA70DE">
        <w:t xml:space="preserve">e the collected, collated and analysed information into a high-quality output. </w:t>
      </w:r>
      <w:r w:rsidR="008E63B5">
        <w:t xml:space="preserve">The </w:t>
      </w:r>
      <w:r w:rsidR="00430D9A">
        <w:t>P</w:t>
      </w:r>
      <w:r w:rsidRPr="00DA70DE">
        <w:t xml:space="preserve">lanning </w:t>
      </w:r>
      <w:r w:rsidR="008E63B5">
        <w:t xml:space="preserve">function </w:t>
      </w:r>
      <w:r w:rsidRPr="00DA70DE">
        <w:t>must actively monitor and report against stated performance indicators</w:t>
      </w:r>
      <w:r>
        <w:t xml:space="preserve"> </w:t>
      </w:r>
      <w:r w:rsidR="008E63B5">
        <w:t>and</w:t>
      </w:r>
      <w:r>
        <w:t xml:space="preserve"> </w:t>
      </w:r>
      <w:r w:rsidRPr="00DA70DE">
        <w:t>milestones, success of strateg</w:t>
      </w:r>
      <w:r w:rsidR="008E63B5">
        <w:t>ies</w:t>
      </w:r>
      <w:r w:rsidRPr="00DA70DE">
        <w:t xml:space="preserve"> and tactics</w:t>
      </w:r>
      <w:r w:rsidR="008E63B5">
        <w:t>,</w:t>
      </w:r>
      <w:r w:rsidRPr="00DA70DE">
        <w:t xml:space="preserve"> and progress toward</w:t>
      </w:r>
      <w:r w:rsidR="008E63B5">
        <w:t>s</w:t>
      </w:r>
      <w:r w:rsidRPr="00DA70DE">
        <w:t xml:space="preserve"> eradication.</w:t>
      </w:r>
    </w:p>
    <w:p w14:paraId="1C91482C" w14:textId="572636DA" w:rsidR="00232BE0" w:rsidRPr="00067884" w:rsidRDefault="00232BE0" w:rsidP="00232BE0">
      <w:r w:rsidRPr="00DA70DE">
        <w:t xml:space="preserve">There may be instances where the SCC and LCC are co-located. Where this occurs, it is important that </w:t>
      </w:r>
      <w:r>
        <w:t>a</w:t>
      </w:r>
      <w:r w:rsidRPr="00DA70DE">
        <w:t xml:space="preserve"> function</w:t>
      </w:r>
      <w:r>
        <w:t>(</w:t>
      </w:r>
      <w:r w:rsidRPr="00DA70DE">
        <w:t>s</w:t>
      </w:r>
      <w:r>
        <w:t>)</w:t>
      </w:r>
      <w:r w:rsidRPr="00DA70DE">
        <w:t xml:space="preserve"> of the SCC and LCC </w:t>
      </w:r>
      <w:r>
        <w:t>is</w:t>
      </w:r>
      <w:r w:rsidRPr="00DA70DE">
        <w:t xml:space="preserve"> not reduced to a single functional area </w:t>
      </w:r>
      <w:r w:rsidR="008E63B5">
        <w:t>(</w:t>
      </w:r>
      <w:r w:rsidRPr="00DA70DE">
        <w:t>eg</w:t>
      </w:r>
      <w:r w:rsidR="008E63B5">
        <w:t> </w:t>
      </w:r>
      <w:r w:rsidRPr="00DA70DE">
        <w:t xml:space="preserve">SCC Planning and LCC </w:t>
      </w:r>
      <w:r w:rsidRPr="00067884">
        <w:t>Planning becom</w:t>
      </w:r>
      <w:r w:rsidR="008E63B5">
        <w:t>ing</w:t>
      </w:r>
      <w:r w:rsidRPr="00067884">
        <w:t xml:space="preserve"> a single </w:t>
      </w:r>
      <w:r w:rsidR="00430D9A">
        <w:t>P</w:t>
      </w:r>
      <w:r w:rsidRPr="00067884">
        <w:t xml:space="preserve">lanning </w:t>
      </w:r>
      <w:r w:rsidR="008E63B5">
        <w:t>f</w:t>
      </w:r>
      <w:r w:rsidRPr="00067884">
        <w:t>unction</w:t>
      </w:r>
      <w:r w:rsidR="008E63B5">
        <w:t>)</w:t>
      </w:r>
      <w:r w:rsidRPr="00067884">
        <w:t xml:space="preserve">. </w:t>
      </w:r>
      <w:r w:rsidRPr="00FC6630">
        <w:t xml:space="preserve">The outputs and outcomes from the SCC </w:t>
      </w:r>
      <w:r w:rsidR="008E63B5" w:rsidRPr="00FC6630">
        <w:t xml:space="preserve">Planning </w:t>
      </w:r>
      <w:r w:rsidRPr="00FC6630">
        <w:t>and LCC Planning functional areas are different and must both be produced at the relevant level.</w:t>
      </w:r>
    </w:p>
    <w:p w14:paraId="0C8A7DA7" w14:textId="286FBC47" w:rsidR="00232BE0" w:rsidRPr="00DA70DE" w:rsidRDefault="00232BE0" w:rsidP="00232BE0">
      <w:r w:rsidRPr="00DA70DE">
        <w:t xml:space="preserve">LCC </w:t>
      </w:r>
      <w:r>
        <w:rPr>
          <w:lang w:val="en-US"/>
        </w:rPr>
        <w:t xml:space="preserve">Community Engagement </w:t>
      </w:r>
      <w:r w:rsidRPr="00DA70DE">
        <w:t xml:space="preserve">and </w:t>
      </w:r>
      <w:r w:rsidR="00BC2E0B">
        <w:t xml:space="preserve">LCC </w:t>
      </w:r>
      <w:r>
        <w:t>M</w:t>
      </w:r>
      <w:r w:rsidRPr="00DA70DE">
        <w:t xml:space="preserve">edia </w:t>
      </w:r>
      <w:r w:rsidR="00BC2E0B">
        <w:t xml:space="preserve">Liaison </w:t>
      </w:r>
      <w:r>
        <w:t>will</w:t>
      </w:r>
      <w:r w:rsidRPr="00DA70DE">
        <w:t xml:space="preserve"> include </w:t>
      </w:r>
      <w:r>
        <w:t xml:space="preserve">a significant commitment to </w:t>
      </w:r>
      <w:r w:rsidRPr="00DA70DE">
        <w:t>community engagement activities to develop and maintain support from local stakeholders</w:t>
      </w:r>
      <w:r>
        <w:t xml:space="preserve"> and partners</w:t>
      </w:r>
      <w:r w:rsidRPr="00DA70DE">
        <w:t>. There is also likely to be a need for local communications and media work</w:t>
      </w:r>
      <w:r w:rsidR="008E63B5">
        <w:t>ing</w:t>
      </w:r>
      <w:r w:rsidRPr="00DA70DE">
        <w:t xml:space="preserve"> in concert with </w:t>
      </w:r>
      <w:r w:rsidR="008E63B5">
        <w:t>this function</w:t>
      </w:r>
      <w:r w:rsidR="008E63B5" w:rsidRPr="00DA70DE">
        <w:t xml:space="preserve"> </w:t>
      </w:r>
      <w:r w:rsidRPr="00DA70DE">
        <w:t>at the SCC level.</w:t>
      </w:r>
    </w:p>
    <w:p w14:paraId="5FBE5D3A" w14:textId="77777777" w:rsidR="00232BE0" w:rsidRPr="00947E69" w:rsidRDefault="00232BE0" w:rsidP="00766FF7"/>
    <w:p w14:paraId="770EA1C6" w14:textId="03F888DD" w:rsidR="006E3C5F" w:rsidRPr="00931E7E" w:rsidRDefault="00A66BEF" w:rsidP="006E7235">
      <w:pPr>
        <w:pStyle w:val="Heading2"/>
      </w:pPr>
      <w:bookmarkStart w:id="48" w:name="_Toc529783771"/>
      <w:r w:rsidRPr="006027E0">
        <w:t>3.6</w:t>
      </w:r>
      <w:r w:rsidRPr="006027E0">
        <w:tab/>
      </w:r>
      <w:r w:rsidR="006E3C5F" w:rsidRPr="006027E0">
        <w:t>Wildlife Health Austr</w:t>
      </w:r>
      <w:r w:rsidR="00234F91" w:rsidRPr="006027E0">
        <w:t>alia</w:t>
      </w:r>
      <w:bookmarkEnd w:id="48"/>
    </w:p>
    <w:p w14:paraId="3D64969B" w14:textId="409A63F6" w:rsidR="000616E1" w:rsidRDefault="00722216" w:rsidP="00766FF7">
      <w:pPr>
        <w:rPr>
          <w:bCs/>
        </w:rPr>
      </w:pPr>
      <w:r w:rsidRPr="00317145">
        <w:t xml:space="preserve">WHA is the </w:t>
      </w:r>
      <w:r w:rsidR="001E770F">
        <w:t xml:space="preserve">coordinating </w:t>
      </w:r>
      <w:r w:rsidRPr="00317145">
        <w:t>body for wildlife health</w:t>
      </w:r>
      <w:r w:rsidR="00F37C31">
        <w:t xml:space="preserve"> </w:t>
      </w:r>
      <w:r w:rsidRPr="00317145">
        <w:t>in Australia. </w:t>
      </w:r>
      <w:r w:rsidR="006E3C5F" w:rsidRPr="00317145">
        <w:t>Australia has an integrated biosecurity system that includes wildlife (</w:t>
      </w:r>
      <w:r w:rsidR="00AF00AF">
        <w:t>Bunn</w:t>
      </w:r>
      <w:r w:rsidR="00AF00AF" w:rsidRPr="00317145">
        <w:t xml:space="preserve"> </w:t>
      </w:r>
      <w:r w:rsidR="00AF00AF">
        <w:t>&amp;</w:t>
      </w:r>
      <w:r w:rsidR="00AF00AF" w:rsidRPr="00317145">
        <w:t xml:space="preserve"> </w:t>
      </w:r>
      <w:r w:rsidR="00AF00AF">
        <w:t>Woods</w:t>
      </w:r>
      <w:r w:rsidR="00AF00AF" w:rsidRPr="00317145">
        <w:t xml:space="preserve"> </w:t>
      </w:r>
      <w:r w:rsidR="006E3C5F" w:rsidRPr="00317145">
        <w:t xml:space="preserve">2005). The wildlife component is simple, national and functional. WHA assists </w:t>
      </w:r>
      <w:r w:rsidR="00890692">
        <w:t xml:space="preserve">the </w:t>
      </w:r>
      <w:r w:rsidR="006E3C5F" w:rsidRPr="00317145">
        <w:t xml:space="preserve">Australian </w:t>
      </w:r>
      <w:r w:rsidR="006027E0">
        <w:t>G</w:t>
      </w:r>
      <w:r w:rsidR="006E3C5F" w:rsidRPr="00317145">
        <w:t xml:space="preserve">overnment and </w:t>
      </w:r>
      <w:r>
        <w:t>partners</w:t>
      </w:r>
      <w:r w:rsidR="006E3C5F" w:rsidRPr="00317145">
        <w:t xml:space="preserve"> to coordinate activities ranging from surveillance to education and training, research and outreach. Activities contribute to preparedness</w:t>
      </w:r>
      <w:r w:rsidR="006027E0">
        <w:t>,</w:t>
      </w:r>
      <w:r w:rsidR="00553B4E">
        <w:t xml:space="preserve"> and an </w:t>
      </w:r>
      <w:r w:rsidR="006E3C5F" w:rsidRPr="00317145">
        <w:t xml:space="preserve">improved understanding and management of risk </w:t>
      </w:r>
      <w:r w:rsidR="008C4BE1">
        <w:t>from</w:t>
      </w:r>
      <w:r w:rsidR="009330E1">
        <w:t xml:space="preserve"> </w:t>
      </w:r>
      <w:r w:rsidR="008C4BE1" w:rsidRPr="00317145">
        <w:t>diseases</w:t>
      </w:r>
      <w:r w:rsidR="006E3C5F" w:rsidRPr="00317145">
        <w:t xml:space="preserve"> </w:t>
      </w:r>
      <w:r w:rsidR="006027E0">
        <w:t>that have</w:t>
      </w:r>
      <w:r w:rsidR="006027E0" w:rsidRPr="00317145">
        <w:t xml:space="preserve"> </w:t>
      </w:r>
      <w:r w:rsidR="00890692">
        <w:t xml:space="preserve">native </w:t>
      </w:r>
      <w:r w:rsidR="006E3C5F" w:rsidRPr="00317145">
        <w:t>wildlife as part of their epidemiology.</w:t>
      </w:r>
    </w:p>
    <w:p w14:paraId="6A130064" w14:textId="707463B7" w:rsidR="00722216" w:rsidRDefault="00361D91" w:rsidP="00766FF7">
      <w:r w:rsidRPr="00317145">
        <w:t>One of the core activities of Australia</w:t>
      </w:r>
      <w:r w:rsidR="00E30457">
        <w:t>’s</w:t>
      </w:r>
      <w:r w:rsidR="00722216">
        <w:t xml:space="preserve"> </w:t>
      </w:r>
      <w:r w:rsidRPr="00317145">
        <w:t xml:space="preserve">wildlife health surveillance system is to ensure </w:t>
      </w:r>
      <w:r w:rsidR="006027E0">
        <w:t xml:space="preserve">that </w:t>
      </w:r>
      <w:r w:rsidRPr="00317145">
        <w:t>relevant authorities are notified of sig</w:t>
      </w:r>
      <w:r w:rsidR="00C41358">
        <w:t>nificant wildlife disease outbreaks</w:t>
      </w:r>
      <w:r w:rsidRPr="00317145">
        <w:t>. WHA acts as a stakeholder liaison body</w:t>
      </w:r>
      <w:r w:rsidR="006027E0">
        <w:t>,</w:t>
      </w:r>
      <w:r w:rsidRPr="00317145">
        <w:t xml:space="preserve"> and may also assist in respon</w:t>
      </w:r>
      <w:r w:rsidR="006027E0">
        <w:t>ding</w:t>
      </w:r>
      <w:r w:rsidRPr="00317145">
        <w:t xml:space="preserve"> to an </w:t>
      </w:r>
      <w:r w:rsidR="00695B1D">
        <w:t xml:space="preserve">EWD or </w:t>
      </w:r>
      <w:r w:rsidRPr="00317145">
        <w:t>EAD event as directed by the affected jurisdiction</w:t>
      </w:r>
      <w:r w:rsidR="003C10B6">
        <w:t xml:space="preserve">, </w:t>
      </w:r>
      <w:r w:rsidR="00D9140E">
        <w:t xml:space="preserve">and </w:t>
      </w:r>
      <w:r w:rsidRPr="00317145">
        <w:t xml:space="preserve">the </w:t>
      </w:r>
      <w:r w:rsidR="006027E0">
        <w:t xml:space="preserve">Australian </w:t>
      </w:r>
      <w:r w:rsidR="00E30457">
        <w:t>CVO</w:t>
      </w:r>
      <w:r w:rsidRPr="00317145">
        <w:t xml:space="preserve">. </w:t>
      </w:r>
    </w:p>
    <w:p w14:paraId="223ED98D" w14:textId="0125F754" w:rsidR="0027253E" w:rsidRDefault="00361D91" w:rsidP="00766FF7">
      <w:r w:rsidRPr="00317145">
        <w:t>Where a wildlife disease</w:t>
      </w:r>
      <w:r w:rsidR="00550533">
        <w:t xml:space="preserve"> response </w:t>
      </w:r>
      <w:r w:rsidRPr="00317145">
        <w:t xml:space="preserve">crosses </w:t>
      </w:r>
      <w:r w:rsidR="00550533">
        <w:t xml:space="preserve">state </w:t>
      </w:r>
      <w:r w:rsidR="006027E0">
        <w:t xml:space="preserve">or </w:t>
      </w:r>
      <w:r w:rsidR="00550533">
        <w:t>territory borders</w:t>
      </w:r>
      <w:r w:rsidRPr="00317145">
        <w:t xml:space="preserve"> and is considered </w:t>
      </w:r>
      <w:r w:rsidR="001E7A33">
        <w:t>important</w:t>
      </w:r>
      <w:r w:rsidRPr="00317145">
        <w:t xml:space="preserve"> but does not trigger an </w:t>
      </w:r>
      <w:r w:rsidR="00695B1D">
        <w:t xml:space="preserve">EWD or </w:t>
      </w:r>
      <w:r w:rsidRPr="00317145">
        <w:t>EAD response, WHA may be asked to help to determine if there are similar events in other states or territories</w:t>
      </w:r>
      <w:r w:rsidR="006027E0">
        <w:t>;</w:t>
      </w:r>
      <w:r w:rsidRPr="00317145">
        <w:t xml:space="preserve"> ensure </w:t>
      </w:r>
      <w:r w:rsidR="006027E0">
        <w:t xml:space="preserve">that </w:t>
      </w:r>
      <w:r w:rsidRPr="00317145">
        <w:t>key agencies, organisations and networks are aware</w:t>
      </w:r>
      <w:r w:rsidR="006027E0">
        <w:t xml:space="preserve"> of the event;</w:t>
      </w:r>
      <w:r w:rsidRPr="00317145">
        <w:t xml:space="preserve"> encourage or coordinate communications across disciplines and agencies</w:t>
      </w:r>
      <w:r w:rsidR="006027E0">
        <w:t>;</w:t>
      </w:r>
      <w:r w:rsidRPr="00317145">
        <w:t xml:space="preserve"> and provide linkage to key expertise at </w:t>
      </w:r>
      <w:r w:rsidR="006027E0">
        <w:t xml:space="preserve">the </w:t>
      </w:r>
      <w:r w:rsidRPr="00317145">
        <w:t>national level.</w:t>
      </w:r>
      <w:r w:rsidR="00117E58" w:rsidRPr="00117E58">
        <w:t xml:space="preserve"> </w:t>
      </w:r>
      <w:r w:rsidR="00117E58">
        <w:t xml:space="preserve">WHA has a position on the </w:t>
      </w:r>
      <w:r w:rsidR="00117E58" w:rsidRPr="0028068D">
        <w:t>National </w:t>
      </w:r>
      <w:r w:rsidR="00117E58" w:rsidRPr="0027253E">
        <w:t>Biosecurity</w:t>
      </w:r>
      <w:r w:rsidR="00117E58" w:rsidRPr="0028068D">
        <w:t> Communication and Engagement Network</w:t>
      </w:r>
      <w:r w:rsidR="00117E58">
        <w:t>,</w:t>
      </w:r>
      <w:r w:rsidR="00117E58" w:rsidRPr="0028068D">
        <w:t xml:space="preserve"> </w:t>
      </w:r>
      <w:r w:rsidR="00117E58">
        <w:t xml:space="preserve">which </w:t>
      </w:r>
      <w:r w:rsidR="00117E58" w:rsidRPr="0028068D">
        <w:t>produces nationally consistent public information in response to pest and disease outbreaks (</w:t>
      </w:r>
      <w:r w:rsidR="00117E58" w:rsidRPr="0027253E">
        <w:t>biosecurity</w:t>
      </w:r>
      <w:r w:rsidR="00117E58" w:rsidRPr="0028068D">
        <w:t xml:space="preserve"> incidents) that </w:t>
      </w:r>
      <w:r w:rsidR="00117E58">
        <w:t>affect</w:t>
      </w:r>
      <w:r w:rsidR="00117E58" w:rsidRPr="0028068D">
        <w:t xml:space="preserve"> Australia</w:t>
      </w:r>
      <w:r w:rsidR="00117E58">
        <w:t>’</w:t>
      </w:r>
      <w:r w:rsidR="00117E58" w:rsidRPr="0028068D">
        <w:t>s agricultural industries</w:t>
      </w:r>
      <w:r w:rsidR="00117E58">
        <w:t xml:space="preserve"> and wildlife.</w:t>
      </w:r>
    </w:p>
    <w:p w14:paraId="2F57E974" w14:textId="23B3DD3C" w:rsidR="000616E1" w:rsidRPr="0027253E" w:rsidRDefault="00117E58" w:rsidP="00766FF7">
      <w:r>
        <w:t>B</w:t>
      </w:r>
      <w:r w:rsidR="006027E0">
        <w:t xml:space="preserve">ecause </w:t>
      </w:r>
      <w:r w:rsidR="00361D91" w:rsidRPr="00317145">
        <w:t xml:space="preserve">the responsibility for wildlife health within </w:t>
      </w:r>
      <w:r w:rsidR="00B67C91">
        <w:t>a</w:t>
      </w:r>
      <w:r w:rsidR="00B67C91" w:rsidRPr="00317145">
        <w:t xml:space="preserve"> </w:t>
      </w:r>
      <w:r w:rsidR="00361D91" w:rsidRPr="00317145">
        <w:t>jurisdiction sits with the CVO, their authority must be recognised. They, or their appointed representative for wildlife (the WHA Coordinator)</w:t>
      </w:r>
      <w:r w:rsidR="006027E0">
        <w:t>,</w:t>
      </w:r>
      <w:r w:rsidR="00361D91" w:rsidRPr="00317145">
        <w:t xml:space="preserve"> must always be kept informed of any events of concern, and the response activities undertaken under their direction.</w:t>
      </w:r>
      <w:r w:rsidR="00FB56BE">
        <w:t xml:space="preserve"> </w:t>
      </w:r>
    </w:p>
    <w:p w14:paraId="242BB372" w14:textId="6BB62A60" w:rsidR="00026BDF" w:rsidRPr="00317145" w:rsidRDefault="00026BDF" w:rsidP="00766FF7">
      <w:r w:rsidRPr="00317145">
        <w:t xml:space="preserve">A decision </w:t>
      </w:r>
      <w:r w:rsidR="00B9595C" w:rsidRPr="00317145">
        <w:t>has not yet been made</w:t>
      </w:r>
      <w:r w:rsidR="00B9595C">
        <w:t xml:space="preserve"> </w:t>
      </w:r>
      <w:r w:rsidR="00117E58">
        <w:t>about</w:t>
      </w:r>
      <w:r w:rsidRPr="00317145">
        <w:t xml:space="preserve"> the ongoing management of emergency plans relating to Australia’s native wildlife. </w:t>
      </w:r>
      <w:r w:rsidR="00117E58">
        <w:t>In the mean</w:t>
      </w:r>
      <w:r w:rsidRPr="00317145">
        <w:t xml:space="preserve">time, WHA will act as custodian of the </w:t>
      </w:r>
      <w:r w:rsidR="00315AAC">
        <w:t>emergency plan</w:t>
      </w:r>
      <w:r w:rsidR="00B67C91">
        <w:t>,</w:t>
      </w:r>
      <w:r w:rsidR="00315AAC">
        <w:t xml:space="preserve"> including the</w:t>
      </w:r>
      <w:r w:rsidR="00A1593D">
        <w:t>se g</w:t>
      </w:r>
      <w:r w:rsidR="00315AAC">
        <w:t>uidelines</w:t>
      </w:r>
      <w:r w:rsidR="000616E1" w:rsidRPr="00317145">
        <w:t>.</w:t>
      </w:r>
      <w:r w:rsidR="006629BD">
        <w:t xml:space="preserve"> WHA reports to </w:t>
      </w:r>
      <w:r w:rsidR="00370CA1">
        <w:t>AGSOC</w:t>
      </w:r>
      <w:r w:rsidR="006629BD">
        <w:t xml:space="preserve"> via AHC and </w:t>
      </w:r>
      <w:r w:rsidR="00A1593D">
        <w:t xml:space="preserve">the </w:t>
      </w:r>
      <w:r w:rsidR="00370CA1">
        <w:t>NBC</w:t>
      </w:r>
      <w:r w:rsidR="006629BD">
        <w:t>.</w:t>
      </w:r>
    </w:p>
    <w:p w14:paraId="3CBE785A" w14:textId="52824A0C" w:rsidR="00250FDE" w:rsidRPr="006E3C5F" w:rsidRDefault="00A66BEF" w:rsidP="006E7235">
      <w:pPr>
        <w:pStyle w:val="Heading2"/>
        <w:rPr>
          <w:szCs w:val="24"/>
        </w:rPr>
      </w:pPr>
      <w:bookmarkStart w:id="49" w:name="_Toc529783772"/>
      <w:bookmarkStart w:id="50" w:name="_Hlk502933607"/>
      <w:r>
        <w:t>3.7</w:t>
      </w:r>
      <w:r>
        <w:tab/>
      </w:r>
      <w:r w:rsidR="006E3C5F" w:rsidRPr="00B47EA3">
        <w:t xml:space="preserve">Wildlife </w:t>
      </w:r>
      <w:r w:rsidR="004E6116">
        <w:t xml:space="preserve">health </w:t>
      </w:r>
      <w:r w:rsidR="006E3C5F" w:rsidRPr="00B47EA3">
        <w:t>partner</w:t>
      </w:r>
      <w:r w:rsidR="00184120">
        <w:t>s</w:t>
      </w:r>
      <w:bookmarkEnd w:id="49"/>
    </w:p>
    <w:bookmarkEnd w:id="50"/>
    <w:p w14:paraId="0D10EA19" w14:textId="7F543F5B" w:rsidR="00E453B3" w:rsidRPr="00317145" w:rsidRDefault="006E3C5F" w:rsidP="00766FF7">
      <w:r w:rsidRPr="00317145">
        <w:t>As with other national programs, wildlife surveillance arrangements rely on strong partnerships between Australian governments</w:t>
      </w:r>
      <w:r w:rsidR="00A1593D">
        <w:t>,</w:t>
      </w:r>
      <w:r w:rsidRPr="00317145">
        <w:t xml:space="preserve"> industries</w:t>
      </w:r>
      <w:r w:rsidR="00184120" w:rsidRPr="00317145">
        <w:t xml:space="preserve"> and </w:t>
      </w:r>
      <w:r w:rsidR="00A1593D">
        <w:t>nongovernment organisations</w:t>
      </w:r>
      <w:r w:rsidRPr="00317145">
        <w:t>. In the case of g</w:t>
      </w:r>
      <w:r w:rsidR="00C41358">
        <w:t xml:space="preserve">eneral wildlife surveillance, </w:t>
      </w:r>
      <w:r w:rsidR="00A1593D">
        <w:t>‘</w:t>
      </w:r>
      <w:r w:rsidR="00C41358">
        <w:t>i</w:t>
      </w:r>
      <w:r w:rsidRPr="00317145">
        <w:t>ndustries</w:t>
      </w:r>
      <w:r w:rsidR="00A1593D">
        <w:t>’</w:t>
      </w:r>
      <w:r w:rsidRPr="00317145">
        <w:t xml:space="preserve"> are more accurately referred to as </w:t>
      </w:r>
      <w:r w:rsidR="00A1593D">
        <w:t>‘</w:t>
      </w:r>
      <w:r w:rsidR="00C41358">
        <w:t>p</w:t>
      </w:r>
      <w:r w:rsidRPr="00317145">
        <w:t>artners</w:t>
      </w:r>
      <w:r w:rsidR="00A1593D">
        <w:t>’. They</w:t>
      </w:r>
      <w:r w:rsidRPr="00317145">
        <w:t xml:space="preserve"> comprise front-line observers who are most likely to observe and report disease outbreaks</w:t>
      </w:r>
      <w:r w:rsidR="004C1809">
        <w:t>, including</w:t>
      </w:r>
      <w:r w:rsidRPr="00317145">
        <w:t xml:space="preserve"> unusual </w:t>
      </w:r>
      <w:r w:rsidR="0027253E">
        <w:t>outbreaks</w:t>
      </w:r>
      <w:r w:rsidR="004C1809">
        <w:t>,</w:t>
      </w:r>
      <w:r w:rsidR="0027253E">
        <w:t xml:space="preserve"> </w:t>
      </w:r>
      <w:r w:rsidRPr="00317145">
        <w:t xml:space="preserve">in their jurisdiction. </w:t>
      </w:r>
      <w:r w:rsidR="00A1593D">
        <w:t>P</w:t>
      </w:r>
      <w:r w:rsidRPr="00317145">
        <w:t xml:space="preserve">artner organisations and networks </w:t>
      </w:r>
      <w:r w:rsidR="00A1593D">
        <w:t>have</w:t>
      </w:r>
      <w:r w:rsidR="00A1593D" w:rsidRPr="00317145">
        <w:t xml:space="preserve"> </w:t>
      </w:r>
      <w:r w:rsidRPr="00317145">
        <w:t xml:space="preserve">an active role in promoting biosecurity and </w:t>
      </w:r>
      <w:r w:rsidR="00A1593D">
        <w:t>EAD</w:t>
      </w:r>
      <w:r w:rsidR="00C41358">
        <w:t xml:space="preserve"> awareness. The</w:t>
      </w:r>
      <w:r w:rsidR="00A1593D">
        <w:t>y</w:t>
      </w:r>
      <w:r w:rsidRPr="00317145">
        <w:t xml:space="preserve"> include Australian universities, the Zoo and Aquarium Association, </w:t>
      </w:r>
      <w:r w:rsidR="00A1593D">
        <w:t xml:space="preserve">the </w:t>
      </w:r>
      <w:r w:rsidRPr="00317145">
        <w:t>RSPCA</w:t>
      </w:r>
      <w:r w:rsidR="007B06F9">
        <w:t xml:space="preserve">, </w:t>
      </w:r>
      <w:r w:rsidR="00A1593D">
        <w:t xml:space="preserve">the </w:t>
      </w:r>
      <w:r w:rsidR="00014636" w:rsidRPr="00317145">
        <w:t>Australian Veterinary Association</w:t>
      </w:r>
      <w:r w:rsidR="00C41358">
        <w:t>, t</w:t>
      </w:r>
      <w:r w:rsidR="007B06F9">
        <w:t xml:space="preserve">he </w:t>
      </w:r>
      <w:r w:rsidR="00A1593D">
        <w:t xml:space="preserve">Australasian Section of the </w:t>
      </w:r>
      <w:r w:rsidR="007B06F9">
        <w:t>Wildlife Diseases Association</w:t>
      </w:r>
      <w:r w:rsidR="00C41358">
        <w:t xml:space="preserve">, </w:t>
      </w:r>
      <w:r w:rsidR="00F41AAA">
        <w:t>major Australian zoos</w:t>
      </w:r>
      <w:r w:rsidR="00E453B3" w:rsidRPr="00752545">
        <w:t xml:space="preserve">, the </w:t>
      </w:r>
      <w:r w:rsidR="00F41AAA">
        <w:t xml:space="preserve">Australian Registry of </w:t>
      </w:r>
      <w:r w:rsidR="00E453B3" w:rsidRPr="00752545">
        <w:t xml:space="preserve">Wildlife </w:t>
      </w:r>
      <w:r w:rsidR="0032657B">
        <w:t>Health</w:t>
      </w:r>
      <w:r w:rsidR="00E453B3" w:rsidRPr="00752545">
        <w:t>, and all Australian veterinary schools. </w:t>
      </w:r>
    </w:p>
    <w:p w14:paraId="519D495F" w14:textId="6E1C467E" w:rsidR="00671A72" w:rsidRPr="00317145" w:rsidRDefault="00A1593D" w:rsidP="00766FF7">
      <w:r>
        <w:t>Private veterinarians</w:t>
      </w:r>
      <w:r w:rsidRPr="00317145">
        <w:t xml:space="preserve"> </w:t>
      </w:r>
      <w:r>
        <w:t xml:space="preserve">are another group of </w:t>
      </w:r>
      <w:r w:rsidR="00FB4978" w:rsidRPr="00317145">
        <w:t xml:space="preserve">nongovernment wildlife stakeholders and partners. </w:t>
      </w:r>
      <w:r w:rsidR="00FB4978">
        <w:t xml:space="preserve">A sentinel surveillance system </w:t>
      </w:r>
      <w:r>
        <w:t xml:space="preserve">is </w:t>
      </w:r>
      <w:r w:rsidR="00FB4978">
        <w:t xml:space="preserve">based on private veterinary clinics and a number of focus groups. </w:t>
      </w:r>
      <w:r w:rsidR="00BD0485">
        <w:t xml:space="preserve">Some partners maintain </w:t>
      </w:r>
      <w:r w:rsidR="00F46A55">
        <w:t xml:space="preserve">biosecurity </w:t>
      </w:r>
      <w:r w:rsidR="00BD0485">
        <w:t>plans</w:t>
      </w:r>
      <w:r w:rsidR="004C1809">
        <w:t>,</w:t>
      </w:r>
      <w:r w:rsidR="00F46A55">
        <w:t xml:space="preserve"> and plans</w:t>
      </w:r>
      <w:r w:rsidR="00BD0485">
        <w:t xml:space="preserve"> for diseases of </w:t>
      </w:r>
      <w:r w:rsidR="00BD0485" w:rsidRPr="004E2E7D">
        <w:t>significance that may affect their enterprise</w:t>
      </w:r>
      <w:r w:rsidR="00F46A55" w:rsidRPr="004E2E7D">
        <w:t>.</w:t>
      </w:r>
    </w:p>
    <w:p w14:paraId="3B80A3F2" w14:textId="0A6490EA" w:rsidR="00520CD5" w:rsidRPr="00184120" w:rsidRDefault="00A66BEF" w:rsidP="00A80AEB">
      <w:pPr>
        <w:pStyle w:val="Heading2"/>
      </w:pPr>
      <w:bookmarkStart w:id="51" w:name="_Toc529783773"/>
      <w:r>
        <w:lastRenderedPageBreak/>
        <w:t>3.8</w:t>
      </w:r>
      <w:r>
        <w:tab/>
      </w:r>
      <w:r w:rsidR="005249BC" w:rsidRPr="00184120">
        <w:t xml:space="preserve">Qualifications and </w:t>
      </w:r>
      <w:r w:rsidR="00232921">
        <w:t>t</w:t>
      </w:r>
      <w:r w:rsidR="00520CD5" w:rsidRPr="00184120">
        <w:t>raining</w:t>
      </w:r>
      <w:bookmarkEnd w:id="51"/>
    </w:p>
    <w:p w14:paraId="511E3D4D" w14:textId="34E480D1" w:rsidR="00520CD5" w:rsidRDefault="004244B6" w:rsidP="00766FF7">
      <w:r>
        <w:t>P</w:t>
      </w:r>
      <w:r w:rsidR="00520CD5">
        <w:t xml:space="preserve">ersonnel with a diversity </w:t>
      </w:r>
      <w:r w:rsidR="00E37EF8">
        <w:t>of skills and knowledge that have</w:t>
      </w:r>
      <w:r w:rsidR="00520CD5">
        <w:t xml:space="preserve"> been developed through education</w:t>
      </w:r>
      <w:r w:rsidR="00DE5FA3">
        <w:t xml:space="preserve">, </w:t>
      </w:r>
      <w:r w:rsidR="00520CD5">
        <w:t>training and experience</w:t>
      </w:r>
      <w:r>
        <w:t xml:space="preserve"> are needed to successfully manage an EWD </w:t>
      </w:r>
      <w:r w:rsidRPr="00BE219C">
        <w:t>response</w:t>
      </w:r>
      <w:r w:rsidR="00520CD5">
        <w:t>.</w:t>
      </w:r>
    </w:p>
    <w:p w14:paraId="3A4CBE7F" w14:textId="14B2FD29" w:rsidR="00DE5FA3" w:rsidRPr="00BD0485" w:rsidRDefault="00A66BEF" w:rsidP="00A80AEB">
      <w:pPr>
        <w:pStyle w:val="Heading3"/>
      </w:pPr>
      <w:bookmarkStart w:id="52" w:name="_Toc529783774"/>
      <w:r>
        <w:t>3.8</w:t>
      </w:r>
      <w:r w:rsidR="00A80AEB">
        <w:t>.1</w:t>
      </w:r>
      <w:r w:rsidR="00A80AEB">
        <w:tab/>
      </w:r>
      <w:r w:rsidR="00DE5FA3" w:rsidRPr="00BD0485">
        <w:t xml:space="preserve">Technical skills </w:t>
      </w:r>
      <w:r w:rsidR="004024FE" w:rsidRPr="00BD0485">
        <w:t>and knowledge</w:t>
      </w:r>
      <w:bookmarkEnd w:id="52"/>
    </w:p>
    <w:p w14:paraId="0FB5B5CD" w14:textId="0EB34C9C" w:rsidR="00643C33" w:rsidRDefault="00520CD5" w:rsidP="00766FF7">
      <w:r>
        <w:t>Technical expertise will be required for roles that will underpin the development of plans, strategies</w:t>
      </w:r>
      <w:r w:rsidR="004244B6">
        <w:t xml:space="preserve"> and </w:t>
      </w:r>
      <w:r>
        <w:t xml:space="preserve">tactics, and </w:t>
      </w:r>
      <w:r w:rsidR="004244B6">
        <w:t>for</w:t>
      </w:r>
      <w:r>
        <w:t xml:space="preserve"> tasks that are likely to be specific to the </w:t>
      </w:r>
      <w:r w:rsidR="00DE5FA3">
        <w:t xml:space="preserve">technical </w:t>
      </w:r>
      <w:r>
        <w:t>context of a response. Expertise will be needed for the target EWD</w:t>
      </w:r>
      <w:r w:rsidR="004244B6">
        <w:t>;</w:t>
      </w:r>
      <w:r>
        <w:t xml:space="preserve"> wildlife health</w:t>
      </w:r>
      <w:r w:rsidR="004244B6">
        <w:t>;</w:t>
      </w:r>
      <w:r>
        <w:t xml:space="preserve"> </w:t>
      </w:r>
      <w:r w:rsidR="004244B6">
        <w:t xml:space="preserve">disease </w:t>
      </w:r>
      <w:r>
        <w:t>hosts</w:t>
      </w:r>
      <w:r w:rsidR="004244B6">
        <w:t>;</w:t>
      </w:r>
      <w:r>
        <w:t xml:space="preserve"> population management</w:t>
      </w:r>
      <w:r w:rsidR="004244B6">
        <w:t>;</w:t>
      </w:r>
      <w:r>
        <w:t xml:space="preserve"> weather and climate</w:t>
      </w:r>
      <w:r w:rsidR="004244B6">
        <w:t>;</w:t>
      </w:r>
      <w:r>
        <w:t xml:space="preserve"> surveying, trapping, capturing and handling of hosts</w:t>
      </w:r>
      <w:r w:rsidR="004244B6">
        <w:t>;</w:t>
      </w:r>
      <w:r>
        <w:t xml:space="preserve"> and the environment. </w:t>
      </w:r>
    </w:p>
    <w:p w14:paraId="181F1DA2" w14:textId="6680A73A" w:rsidR="00520CD5" w:rsidRDefault="00520CD5" w:rsidP="00766FF7">
      <w:r>
        <w:t xml:space="preserve">There will be a need for </w:t>
      </w:r>
      <w:r w:rsidR="004244B6">
        <w:t xml:space="preserve">people </w:t>
      </w:r>
      <w:r w:rsidR="00DE5FA3">
        <w:t xml:space="preserve">who can prepare a comprehensive </w:t>
      </w:r>
      <w:r w:rsidR="004244B6">
        <w:t>cost–</w:t>
      </w:r>
      <w:r>
        <w:t xml:space="preserve">benefit </w:t>
      </w:r>
      <w:r w:rsidR="00D23955">
        <w:t>analysis, disease</w:t>
      </w:r>
      <w:r w:rsidR="00BD0485">
        <w:t xml:space="preserve"> ecologists, veterinary </w:t>
      </w:r>
      <w:r w:rsidR="0065724D">
        <w:t xml:space="preserve">epidemiologists, </w:t>
      </w:r>
      <w:r w:rsidR="004244B6">
        <w:t xml:space="preserve">and experts in </w:t>
      </w:r>
      <w:r>
        <w:t xml:space="preserve">geospatial information systems and statistical analysis. </w:t>
      </w:r>
      <w:r w:rsidR="007C78AE">
        <w:t>These experts will have appropriate</w:t>
      </w:r>
      <w:r>
        <w:t xml:space="preserve"> tertiary education</w:t>
      </w:r>
      <w:r w:rsidR="00D518B2">
        <w:t>,</w:t>
      </w:r>
      <w:r>
        <w:t xml:space="preserve"> research </w:t>
      </w:r>
      <w:r w:rsidR="007C78AE">
        <w:t xml:space="preserve">backgrounds </w:t>
      </w:r>
      <w:r>
        <w:t xml:space="preserve">and </w:t>
      </w:r>
      <w:r w:rsidR="00DE5FA3">
        <w:t xml:space="preserve">extensive </w:t>
      </w:r>
      <w:r w:rsidR="00D518B2">
        <w:t xml:space="preserve">specialised </w:t>
      </w:r>
      <w:r>
        <w:t xml:space="preserve">experience. </w:t>
      </w:r>
      <w:r w:rsidR="00D518B2">
        <w:t xml:space="preserve">The expertise is </w:t>
      </w:r>
      <w:r>
        <w:t xml:space="preserve">likely to come from institutions and organisations other than the lead </w:t>
      </w:r>
      <w:r w:rsidR="00DE5FA3">
        <w:t xml:space="preserve">government </w:t>
      </w:r>
      <w:r>
        <w:t xml:space="preserve">and supporting </w:t>
      </w:r>
      <w:r w:rsidR="00DE5FA3">
        <w:t xml:space="preserve">government </w:t>
      </w:r>
      <w:r>
        <w:t>agenc</w:t>
      </w:r>
      <w:r w:rsidR="003467D7">
        <w:t>ie</w:t>
      </w:r>
      <w:r>
        <w:t xml:space="preserve">s. </w:t>
      </w:r>
      <w:r w:rsidR="001C032D">
        <w:t xml:space="preserve">The contributions </w:t>
      </w:r>
      <w:r w:rsidR="00D518B2">
        <w:t>of th</w:t>
      </w:r>
      <w:r w:rsidR="007C78AE">
        <w:t>ese</w:t>
      </w:r>
      <w:r w:rsidR="00D518B2">
        <w:t xml:space="preserve"> external</w:t>
      </w:r>
      <w:r w:rsidR="007C78AE">
        <w:t xml:space="preserve"> experts, which </w:t>
      </w:r>
      <w:r w:rsidR="0034788A">
        <w:t xml:space="preserve">can be funded under </w:t>
      </w:r>
      <w:r w:rsidR="007C78AE">
        <w:t xml:space="preserve">the </w:t>
      </w:r>
      <w:r w:rsidR="0034788A">
        <w:t>NEBRA</w:t>
      </w:r>
      <w:r w:rsidR="007C78AE">
        <w:t>,</w:t>
      </w:r>
      <w:r w:rsidR="0034788A">
        <w:t xml:space="preserve"> </w:t>
      </w:r>
      <w:r w:rsidR="00275205">
        <w:t>will be</w:t>
      </w:r>
      <w:r w:rsidR="001C032D">
        <w:t xml:space="preserve"> vital to the success of a response.</w:t>
      </w:r>
    </w:p>
    <w:p w14:paraId="4F67EB02" w14:textId="55C3E96C" w:rsidR="00DE5FA3" w:rsidRPr="00C61934" w:rsidRDefault="00A66BEF" w:rsidP="00A80AEB">
      <w:pPr>
        <w:pStyle w:val="Heading3"/>
      </w:pPr>
      <w:bookmarkStart w:id="53" w:name="_Toc529783775"/>
      <w:r>
        <w:t>3.8</w:t>
      </w:r>
      <w:r w:rsidR="00A80AEB">
        <w:t>.2</w:t>
      </w:r>
      <w:r w:rsidR="00A80AEB">
        <w:tab/>
      </w:r>
      <w:r w:rsidR="00DE5FA3" w:rsidRPr="00C61934">
        <w:t>Response management</w:t>
      </w:r>
      <w:bookmarkEnd w:id="53"/>
    </w:p>
    <w:p w14:paraId="0429D4C6" w14:textId="537819A9" w:rsidR="00520CD5" w:rsidRDefault="00520CD5" w:rsidP="00766FF7">
      <w:r>
        <w:t>Management of a response will require personnel with incident management skills, knowledge and experience</w:t>
      </w:r>
      <w:r w:rsidR="007C78AE">
        <w:t>,</w:t>
      </w:r>
      <w:r>
        <w:t xml:space="preserve"> based on relevant qualifications. Public </w:t>
      </w:r>
      <w:r w:rsidR="007C78AE">
        <w:t>s</w:t>
      </w:r>
      <w:r>
        <w:t xml:space="preserve">afety qualifications at </w:t>
      </w:r>
      <w:r w:rsidR="007C78AE">
        <w:t>c</w:t>
      </w:r>
      <w:r>
        <w:t xml:space="preserve">ertificate III, </w:t>
      </w:r>
      <w:r w:rsidR="007C78AE">
        <w:t>c</w:t>
      </w:r>
      <w:r>
        <w:t>ertificate IV</w:t>
      </w:r>
      <w:r w:rsidR="00DE5FA3">
        <w:t xml:space="preserve">, </w:t>
      </w:r>
      <w:r w:rsidR="007C78AE">
        <w:t>d</w:t>
      </w:r>
      <w:r>
        <w:t>iploma</w:t>
      </w:r>
      <w:r w:rsidR="007E52C0">
        <w:t>,</w:t>
      </w:r>
      <w:r w:rsidR="00B41D73">
        <w:t xml:space="preserve"> </w:t>
      </w:r>
      <w:r w:rsidR="007C78AE">
        <w:t>a</w:t>
      </w:r>
      <w:r>
        <w:t xml:space="preserve">dvanced </w:t>
      </w:r>
      <w:r w:rsidR="007C78AE">
        <w:t>d</w:t>
      </w:r>
      <w:r>
        <w:t>iploma</w:t>
      </w:r>
      <w:r w:rsidR="00DE5FA3">
        <w:t xml:space="preserve"> and </w:t>
      </w:r>
      <w:r w:rsidR="007C78AE">
        <w:t>d</w:t>
      </w:r>
      <w:r w:rsidR="00DE5FA3">
        <w:t>egree</w:t>
      </w:r>
      <w:r>
        <w:t xml:space="preserve"> levels are relevant. </w:t>
      </w:r>
      <w:r w:rsidR="007C78AE">
        <w:t>P</w:t>
      </w:r>
      <w:r>
        <w:t xml:space="preserve">ersonnel from </w:t>
      </w:r>
      <w:r w:rsidR="00231D4A">
        <w:t>biosecurity-based</w:t>
      </w:r>
      <w:r>
        <w:t xml:space="preserve"> agencies are likely to hold qualifications with a bias toward</w:t>
      </w:r>
      <w:r w:rsidR="007C78AE">
        <w:t>s</w:t>
      </w:r>
      <w:r>
        <w:t xml:space="preserve"> biosecurity. </w:t>
      </w:r>
      <w:r w:rsidR="007C78AE">
        <w:t xml:space="preserve">Personnel </w:t>
      </w:r>
      <w:r>
        <w:t xml:space="preserve">from </w:t>
      </w:r>
      <w:r w:rsidR="00231D4A">
        <w:t>environment-based</w:t>
      </w:r>
      <w:r>
        <w:t xml:space="preserve"> agencies are likely to hold qualifications targeting management of natural disasters</w:t>
      </w:r>
      <w:r w:rsidR="00C109AC">
        <w:t xml:space="preserve"> or similar</w:t>
      </w:r>
      <w:r>
        <w:t xml:space="preserve">. </w:t>
      </w:r>
    </w:p>
    <w:p w14:paraId="1491EE7E" w14:textId="3DAC7628" w:rsidR="00520CD5" w:rsidRPr="00BE219C" w:rsidRDefault="00520CD5" w:rsidP="00766FF7">
      <w:r w:rsidRPr="00C61934">
        <w:t xml:space="preserve">Personnel from both backgrounds are </w:t>
      </w:r>
      <w:r w:rsidR="00A62607" w:rsidRPr="00C61934">
        <w:t>able to fill</w:t>
      </w:r>
      <w:r w:rsidRPr="00C61934">
        <w:t xml:space="preserve"> management team roles of a response</w:t>
      </w:r>
      <w:r w:rsidR="007C78AE">
        <w:t>.</w:t>
      </w:r>
      <w:r w:rsidR="004C1809">
        <w:t xml:space="preserve"> </w:t>
      </w:r>
      <w:r>
        <w:t>The core units of the qualifications for both groups are the same or very similar</w:t>
      </w:r>
      <w:r w:rsidR="007C78AE">
        <w:t>,</w:t>
      </w:r>
      <w:r>
        <w:t xml:space="preserve"> and are relevant </w:t>
      </w:r>
      <w:r w:rsidR="004C1809">
        <w:t xml:space="preserve">to </w:t>
      </w:r>
      <w:r>
        <w:t>management of an emergency response on an all</w:t>
      </w:r>
      <w:r w:rsidR="007C78AE">
        <w:t>-</w:t>
      </w:r>
      <w:r>
        <w:t xml:space="preserve">hazards basis. </w:t>
      </w:r>
      <w:r w:rsidR="00184120">
        <w:t xml:space="preserve">For </w:t>
      </w:r>
      <w:r w:rsidR="004E2C0D">
        <w:t>example,</w:t>
      </w:r>
      <w:r w:rsidR="00184120">
        <w:t xml:space="preserve"> a q</w:t>
      </w:r>
      <w:r>
        <w:t xml:space="preserve">ualified Logistics Manager for any type of emergency response </w:t>
      </w:r>
      <w:r w:rsidR="007C78AE">
        <w:t>can</w:t>
      </w:r>
      <w:r>
        <w:t xml:space="preserve"> be a </w:t>
      </w:r>
      <w:bookmarkStart w:id="54" w:name="_Hlk527623577"/>
      <w:r>
        <w:t>Logistics Manager</w:t>
      </w:r>
      <w:bookmarkEnd w:id="54"/>
      <w:r>
        <w:t xml:space="preserve"> for </w:t>
      </w:r>
      <w:r w:rsidR="0086792A">
        <w:t>an</w:t>
      </w:r>
      <w:r>
        <w:t xml:space="preserve"> EWD response. Similarly, an experienced and qualified </w:t>
      </w:r>
      <w:bookmarkStart w:id="55" w:name="_Hlk527623589"/>
      <w:r>
        <w:t>Planning Manager</w:t>
      </w:r>
      <w:bookmarkEnd w:id="55"/>
      <w:r>
        <w:t xml:space="preserve"> or </w:t>
      </w:r>
      <w:bookmarkStart w:id="56" w:name="_Hlk527623596"/>
      <w:r>
        <w:t>Operations Manager</w:t>
      </w:r>
      <w:bookmarkEnd w:id="56"/>
      <w:r>
        <w:t xml:space="preserve"> for emergency responses will be suitable for th</w:t>
      </w:r>
      <w:r w:rsidR="004C1809">
        <w:t>e</w:t>
      </w:r>
      <w:r>
        <w:t>se roles in an EWD response</w:t>
      </w:r>
      <w:r w:rsidR="00184120">
        <w:t>. T</w:t>
      </w:r>
      <w:r>
        <w:t xml:space="preserve">echnical expertise </w:t>
      </w:r>
      <w:r w:rsidR="00184120">
        <w:t xml:space="preserve">for the </w:t>
      </w:r>
      <w:r w:rsidR="00643C33">
        <w:t>EWD</w:t>
      </w:r>
      <w:r w:rsidR="0034788A">
        <w:t xml:space="preserve">, host populations, </w:t>
      </w:r>
      <w:r w:rsidR="007C78AE">
        <w:t>and so on</w:t>
      </w:r>
      <w:r w:rsidR="00184120">
        <w:t xml:space="preserve"> will typically be in the Planning</w:t>
      </w:r>
      <w:r>
        <w:t xml:space="preserve"> function. </w:t>
      </w:r>
      <w:r w:rsidR="0034788A">
        <w:t xml:space="preserve">Technical expertise is not a prerequisite for many roles </w:t>
      </w:r>
      <w:r w:rsidR="007C78AE">
        <w:t xml:space="preserve">for </w:t>
      </w:r>
      <w:r w:rsidR="0034788A">
        <w:t xml:space="preserve">a response. </w:t>
      </w:r>
    </w:p>
    <w:p w14:paraId="3AF29E6A" w14:textId="7633346D" w:rsidR="00657465" w:rsidRPr="00184120" w:rsidRDefault="00A66BEF" w:rsidP="00A80AEB">
      <w:pPr>
        <w:pStyle w:val="Heading2"/>
      </w:pPr>
      <w:bookmarkStart w:id="57" w:name="_Toc476662271"/>
      <w:bookmarkStart w:id="58" w:name="_Toc529783776"/>
      <w:r>
        <w:t>3.9</w:t>
      </w:r>
      <w:r>
        <w:tab/>
      </w:r>
      <w:r w:rsidR="00657465" w:rsidRPr="00184120">
        <w:t xml:space="preserve">Diagnostic </w:t>
      </w:r>
      <w:bookmarkEnd w:id="57"/>
      <w:r w:rsidR="005249BC" w:rsidRPr="00184120">
        <w:t>resources</w:t>
      </w:r>
      <w:bookmarkEnd w:id="58"/>
    </w:p>
    <w:p w14:paraId="1B175472" w14:textId="31F9D22F" w:rsidR="00657465" w:rsidRDefault="00657465" w:rsidP="00766FF7">
      <w:r w:rsidRPr="00B47EA3">
        <w:t xml:space="preserve">Australia has a sophisticated animal health diagnostics network with capability in </w:t>
      </w:r>
      <w:r>
        <w:t>each</w:t>
      </w:r>
      <w:r w:rsidRPr="00B47EA3">
        <w:t xml:space="preserve"> state and territor</w:t>
      </w:r>
      <w:r>
        <w:t>y</w:t>
      </w:r>
      <w:r w:rsidRPr="00B47EA3">
        <w:t>. Participating laboratories are accredited to relevant international standards through the </w:t>
      </w:r>
      <w:hyperlink r:id="rId19" w:tgtFrame="_blank" w:history="1">
        <w:r w:rsidRPr="00657465">
          <w:t>National Association of Testing Authorities</w:t>
        </w:r>
      </w:hyperlink>
      <w:r w:rsidR="00F14FDE">
        <w:t>. They</w:t>
      </w:r>
      <w:r w:rsidRPr="00B47EA3">
        <w:t xml:space="preserve"> participate in the Australian National Quality Assurance Program</w:t>
      </w:r>
      <w:r w:rsidR="00E40622">
        <w:t>,</w:t>
      </w:r>
      <w:r w:rsidRPr="00B47EA3">
        <w:t xml:space="preserve"> and the Laboratories for EAD Diagnosis and Response </w:t>
      </w:r>
      <w:r w:rsidR="00E40622">
        <w:t xml:space="preserve">(LEADDR) </w:t>
      </w:r>
      <w:r w:rsidRPr="00B47EA3">
        <w:t>Network</w:t>
      </w:r>
      <w:r w:rsidR="00F14FDE">
        <w:t xml:space="preserve">, which </w:t>
      </w:r>
      <w:r w:rsidRPr="00B47EA3">
        <w:t>focus on national and international interlaboratory proficiency testing and ensuring that tests used to exclude a number of targeted EADs are current, aligned and repeatable.</w:t>
      </w:r>
    </w:p>
    <w:p w14:paraId="08B42772" w14:textId="1CDAC8A0" w:rsidR="00657465" w:rsidRPr="00C61934" w:rsidRDefault="00E40622" w:rsidP="00766FF7">
      <w:r>
        <w:t>The LEADDR</w:t>
      </w:r>
      <w:r w:rsidRPr="00B47EA3">
        <w:t xml:space="preserve"> </w:t>
      </w:r>
      <w:r w:rsidR="00657465" w:rsidRPr="00B47EA3">
        <w:t>network includes the high</w:t>
      </w:r>
      <w:r>
        <w:t>-</w:t>
      </w:r>
      <w:r w:rsidR="00657465" w:rsidRPr="00B47EA3">
        <w:t>security diagnostic and containment facility</w:t>
      </w:r>
      <w:r w:rsidR="00727793">
        <w:t xml:space="preserve"> </w:t>
      </w:r>
      <w:r>
        <w:t xml:space="preserve">at </w:t>
      </w:r>
      <w:r w:rsidR="00727793">
        <w:t>CSIRO-</w:t>
      </w:r>
      <w:r w:rsidR="00657465" w:rsidRPr="00B47EA3">
        <w:t>AAHL</w:t>
      </w:r>
      <w:r>
        <w:t>,</w:t>
      </w:r>
      <w:r w:rsidR="00F443A1">
        <w:t xml:space="preserve"> and the </w:t>
      </w:r>
      <w:r w:rsidR="00F443A1" w:rsidRPr="005C16B5">
        <w:t>Australian Animal Pathology Standards Program, both of which include significant expertise in wildlife disease diagnosis</w:t>
      </w:r>
      <w:r w:rsidR="00657465" w:rsidRPr="00F443A1">
        <w:t>.</w:t>
      </w:r>
      <w:r w:rsidR="00657465" w:rsidRPr="00B47EA3">
        <w:t xml:space="preserve"> Private, university and zoo-based laboratories complement the system</w:t>
      </w:r>
      <w:r>
        <w:t xml:space="preserve">. These </w:t>
      </w:r>
      <w:r w:rsidR="00657465" w:rsidRPr="00B47EA3">
        <w:t xml:space="preserve">include a number of reference laboratories and a </w:t>
      </w:r>
      <w:r w:rsidR="00657465" w:rsidRPr="00B47EA3">
        <w:lastRenderedPageBreak/>
        <w:t xml:space="preserve">registry specialising in diseases of Australian </w:t>
      </w:r>
      <w:r w:rsidR="003467D7">
        <w:t xml:space="preserve">native </w:t>
      </w:r>
      <w:r w:rsidR="00657465" w:rsidRPr="00B47EA3">
        <w:t xml:space="preserve">wildlife </w:t>
      </w:r>
      <w:r w:rsidR="00727793">
        <w:t>(</w:t>
      </w:r>
      <w:r w:rsidR="00657465" w:rsidRPr="00B47EA3">
        <w:t xml:space="preserve">the </w:t>
      </w:r>
      <w:r w:rsidR="00A1593D">
        <w:t xml:space="preserve">Australian Registry of </w:t>
      </w:r>
      <w:r w:rsidR="00A1593D" w:rsidRPr="00752545">
        <w:t xml:space="preserve">Wildlife </w:t>
      </w:r>
      <w:r w:rsidR="00A1593D">
        <w:t>Health</w:t>
      </w:r>
      <w:r w:rsidR="00657465" w:rsidRPr="00B47EA3">
        <w:t xml:space="preserve">, </w:t>
      </w:r>
      <w:r>
        <w:t xml:space="preserve">part of the </w:t>
      </w:r>
      <w:r w:rsidR="00657465" w:rsidRPr="00B47EA3">
        <w:t>Taronga Conservation Society Australia</w:t>
      </w:r>
      <w:r w:rsidR="007E432A">
        <w:t>)</w:t>
      </w:r>
      <w:r w:rsidR="00657465" w:rsidRPr="00B47EA3">
        <w:t xml:space="preserve">. Human health diagnostic facilities provide additional layers of capability </w:t>
      </w:r>
      <w:r>
        <w:t>for</w:t>
      </w:r>
      <w:r w:rsidRPr="00B47EA3">
        <w:t xml:space="preserve"> </w:t>
      </w:r>
      <w:r w:rsidR="00657465" w:rsidRPr="00B47EA3">
        <w:t>zoonotic, arboviral and many other diseases.</w:t>
      </w:r>
      <w:r w:rsidR="007E432A">
        <w:t xml:space="preserve"> Participation by these experts</w:t>
      </w:r>
      <w:r>
        <w:t>,</w:t>
      </w:r>
      <w:r w:rsidR="007E432A">
        <w:t xml:space="preserve"> whether a wildlife partner or not</w:t>
      </w:r>
      <w:r>
        <w:t>,</w:t>
      </w:r>
      <w:r w:rsidR="007E432A">
        <w:t xml:space="preserve"> should be encouraged and supported where the expertise is relevant to the EWD. The financial arrangements of the NEBRA provide for meeting the costs </w:t>
      </w:r>
      <w:r w:rsidR="004C1809">
        <w:t xml:space="preserve">associated with </w:t>
      </w:r>
      <w:r w:rsidR="007E432A">
        <w:t>nongovernment partners.</w:t>
      </w:r>
    </w:p>
    <w:p w14:paraId="1827BD22" w14:textId="605003D1" w:rsidR="00657465" w:rsidRPr="004122E7" w:rsidRDefault="004122E7" w:rsidP="00766FF7">
      <w:r w:rsidRPr="004122E7">
        <w:t>In the first instance</w:t>
      </w:r>
      <w:r w:rsidR="00E40622">
        <w:t>,</w:t>
      </w:r>
      <w:r w:rsidRPr="004122E7">
        <w:t xml:space="preserve"> detections of all nationally notifiable animal diseases in native wildlife must be reported </w:t>
      </w:r>
      <w:r w:rsidR="00EB60B8">
        <w:t xml:space="preserve">to </w:t>
      </w:r>
      <w:r w:rsidRPr="004122E7">
        <w:t>the relevant state or terr</w:t>
      </w:r>
      <w:r w:rsidR="00201798">
        <w:t>itory government agency. Sample</w:t>
      </w:r>
      <w:r w:rsidRPr="004122E7">
        <w:t xml:space="preserve"> submission may be required for confirmation </w:t>
      </w:r>
      <w:r w:rsidR="00201798">
        <w:t>with</w:t>
      </w:r>
      <w:r w:rsidRPr="004122E7">
        <w:t>in the state or territory government laboratory</w:t>
      </w:r>
      <w:r w:rsidR="006A01AA">
        <w:t>,</w:t>
      </w:r>
      <w:r w:rsidRPr="004122E7">
        <w:t xml:space="preserve"> and/or at CSIRO-AAHL</w:t>
      </w:r>
      <w:r w:rsidR="00657465" w:rsidRPr="004122E7">
        <w:t>. </w:t>
      </w:r>
    </w:p>
    <w:p w14:paraId="2EBE9413" w14:textId="79530FC8" w:rsidR="006A01AA" w:rsidRDefault="008C4BE1" w:rsidP="00766FF7">
      <w:r w:rsidRPr="00B47EA3">
        <w:t xml:space="preserve">Guidance for sample collection and processing </w:t>
      </w:r>
      <w:r w:rsidR="00727793">
        <w:t>should</w:t>
      </w:r>
      <w:r>
        <w:t xml:space="preserve"> be sought from primary industries</w:t>
      </w:r>
      <w:r w:rsidR="00727793">
        <w:t xml:space="preserve"> </w:t>
      </w:r>
      <w:r w:rsidR="00D47A29">
        <w:t>or</w:t>
      </w:r>
      <w:r w:rsidR="00727793">
        <w:t xml:space="preserve"> </w:t>
      </w:r>
      <w:r w:rsidR="00EB76AA">
        <w:t>agriculture laboratories</w:t>
      </w:r>
      <w:r w:rsidR="006A01AA">
        <w:t xml:space="preserve"> and </w:t>
      </w:r>
      <w:r w:rsidR="00AA71D5">
        <w:t>peer</w:t>
      </w:r>
      <w:r w:rsidR="006A01AA">
        <w:t>-</w:t>
      </w:r>
      <w:r w:rsidR="00AA71D5">
        <w:t>reviewed literature</w:t>
      </w:r>
      <w:r w:rsidR="006A01AA">
        <w:t xml:space="preserve"> (see </w:t>
      </w:r>
      <w:r w:rsidRPr="00AF00AF">
        <w:t>Vogelnest</w:t>
      </w:r>
      <w:r w:rsidRPr="00B47EA3">
        <w:t xml:space="preserve"> </w:t>
      </w:r>
      <w:r w:rsidR="00AF00AF">
        <w:t>&amp;</w:t>
      </w:r>
      <w:r w:rsidR="00AF00AF" w:rsidRPr="00B47EA3">
        <w:t xml:space="preserve"> </w:t>
      </w:r>
      <w:r w:rsidRPr="00B47EA3">
        <w:t xml:space="preserve">Woods </w:t>
      </w:r>
      <w:r w:rsidR="006A01AA">
        <w:t>[</w:t>
      </w:r>
      <w:r w:rsidRPr="00B47EA3">
        <w:t>2008</w:t>
      </w:r>
      <w:r w:rsidR="006A01AA">
        <w:t>]</w:t>
      </w:r>
      <w:r>
        <w:t>)</w:t>
      </w:r>
      <w:r w:rsidRPr="00B47EA3">
        <w:t xml:space="preserve">. </w:t>
      </w:r>
    </w:p>
    <w:p w14:paraId="478F7474" w14:textId="22DB821C" w:rsidR="00657465" w:rsidRDefault="00D950F7" w:rsidP="00766FF7">
      <w:r>
        <w:t xml:space="preserve">Samples for </w:t>
      </w:r>
      <w:r w:rsidR="003467D7">
        <w:t xml:space="preserve">native </w:t>
      </w:r>
      <w:r>
        <w:t xml:space="preserve">wildlife diagnostics may take a </w:t>
      </w:r>
      <w:r w:rsidR="00657465" w:rsidRPr="00B47EA3">
        <w:t>number of routes</w:t>
      </w:r>
      <w:r w:rsidR="006A01AA">
        <w:t xml:space="preserve">; </w:t>
      </w:r>
      <w:r w:rsidR="00657465" w:rsidRPr="00B47EA3">
        <w:t xml:space="preserve">the majority of samples </w:t>
      </w:r>
      <w:r w:rsidR="006A01AA">
        <w:t xml:space="preserve">will </w:t>
      </w:r>
      <w:r w:rsidR="00657465" w:rsidRPr="00B47EA3">
        <w:t>mov</w:t>
      </w:r>
      <w:r w:rsidR="006A01AA">
        <w:t>e</w:t>
      </w:r>
      <w:r w:rsidR="00657465" w:rsidRPr="00B47EA3">
        <w:t xml:space="preserve"> through either a private, university or government-based diagnostic pathway. As with </w:t>
      </w:r>
      <w:r w:rsidR="006A01AA">
        <w:t xml:space="preserve">samples from </w:t>
      </w:r>
      <w:r w:rsidR="00657465" w:rsidRPr="00B47EA3">
        <w:t>domestic and production animal</w:t>
      </w:r>
      <w:r w:rsidR="006A01AA">
        <w:t>s</w:t>
      </w:r>
      <w:r w:rsidR="00657465" w:rsidRPr="00B47EA3">
        <w:t>, the pathway selected largely depend</w:t>
      </w:r>
      <w:r w:rsidR="006A01AA">
        <w:t>s</w:t>
      </w:r>
      <w:r w:rsidR="00657465" w:rsidRPr="00B47EA3">
        <w:t xml:space="preserve"> on </w:t>
      </w:r>
      <w:r>
        <w:t xml:space="preserve">diagnostic </w:t>
      </w:r>
      <w:r w:rsidR="00657465" w:rsidRPr="00B47EA3">
        <w:t xml:space="preserve">outcomes and </w:t>
      </w:r>
      <w:r w:rsidR="006A01AA">
        <w:t>the suspected</w:t>
      </w:r>
      <w:r w:rsidR="006A01AA" w:rsidRPr="00B47EA3">
        <w:t xml:space="preserve"> </w:t>
      </w:r>
      <w:r w:rsidR="00657465" w:rsidRPr="00B47EA3">
        <w:t xml:space="preserve">aetiology. </w:t>
      </w:r>
      <w:r w:rsidR="006A01AA">
        <w:t>W</w:t>
      </w:r>
      <w:r w:rsidR="00E024B1">
        <w:t>here there is a</w:t>
      </w:r>
      <w:r w:rsidR="00657465" w:rsidRPr="00B47EA3">
        <w:t xml:space="preserve"> suspicion of a notifiable </w:t>
      </w:r>
      <w:r w:rsidR="006A01AA">
        <w:t xml:space="preserve">disease </w:t>
      </w:r>
      <w:r w:rsidR="00657465" w:rsidRPr="00B47EA3">
        <w:t xml:space="preserve">or </w:t>
      </w:r>
      <w:r w:rsidR="004C1809">
        <w:t xml:space="preserve">an </w:t>
      </w:r>
      <w:r w:rsidR="00275205">
        <w:t>EAD</w:t>
      </w:r>
      <w:r w:rsidR="00657465" w:rsidRPr="00B47EA3">
        <w:t>, the submission must be through the state or territory government laboratory</w:t>
      </w:r>
      <w:r w:rsidR="004C1809">
        <w:t>,</w:t>
      </w:r>
      <w:r w:rsidR="00657465" w:rsidRPr="00B47EA3">
        <w:t xml:space="preserve"> or the pathway approved by the state or territory CVO. </w:t>
      </w:r>
      <w:r w:rsidR="006A01AA">
        <w:t xml:space="preserve">Sending of samples </w:t>
      </w:r>
      <w:r w:rsidR="006A01AA" w:rsidRPr="00B47EA3">
        <w:t xml:space="preserve">to another jurisdiction for testing </w:t>
      </w:r>
      <w:r w:rsidR="00657465" w:rsidRPr="00B47EA3">
        <w:t>may also require specific permission from the state or territory CVO.</w:t>
      </w:r>
    </w:p>
    <w:p w14:paraId="20F84587" w14:textId="5A1B2CD5" w:rsidR="003024E1" w:rsidRPr="00FC6630" w:rsidRDefault="006A01AA" w:rsidP="00766FF7">
      <w:pPr>
        <w:rPr>
          <w:bCs/>
        </w:rPr>
      </w:pPr>
      <w:r>
        <w:rPr>
          <w:bCs/>
        </w:rPr>
        <w:t>S</w:t>
      </w:r>
      <w:r w:rsidR="00657465" w:rsidRPr="00FC6630">
        <w:rPr>
          <w:bCs/>
        </w:rPr>
        <w:t>amples must not be sent to overseas laboratories for testing without the permission of the state</w:t>
      </w:r>
      <w:r w:rsidR="00727793" w:rsidRPr="00FC6630">
        <w:rPr>
          <w:bCs/>
        </w:rPr>
        <w:t xml:space="preserve"> </w:t>
      </w:r>
      <w:r w:rsidR="004B291C" w:rsidRPr="00FC6630">
        <w:rPr>
          <w:bCs/>
        </w:rPr>
        <w:t>or</w:t>
      </w:r>
      <w:r w:rsidR="00727793" w:rsidRPr="00FC6630">
        <w:rPr>
          <w:bCs/>
        </w:rPr>
        <w:t xml:space="preserve"> </w:t>
      </w:r>
      <w:r w:rsidR="00657465" w:rsidRPr="00FC6630">
        <w:rPr>
          <w:bCs/>
        </w:rPr>
        <w:t>territory CVO, who will liaise with the A</w:t>
      </w:r>
      <w:r>
        <w:rPr>
          <w:bCs/>
        </w:rPr>
        <w:t xml:space="preserve">ustralian </w:t>
      </w:r>
      <w:r w:rsidR="00657465" w:rsidRPr="00FC6630">
        <w:rPr>
          <w:bCs/>
        </w:rPr>
        <w:t>CVO as required</w:t>
      </w:r>
      <w:r w:rsidR="004C1809">
        <w:rPr>
          <w:bCs/>
        </w:rPr>
        <w:t xml:space="preserve"> (see Section </w:t>
      </w:r>
      <w:r w:rsidR="004C1809">
        <w:t>2.1.6)</w:t>
      </w:r>
      <w:r w:rsidR="00657465" w:rsidRPr="00FC6630">
        <w:rPr>
          <w:bCs/>
        </w:rPr>
        <w:t xml:space="preserve">. </w:t>
      </w:r>
    </w:p>
    <w:p w14:paraId="5C936082" w14:textId="4C03EE2F" w:rsidR="009972F1" w:rsidRPr="009972F1" w:rsidRDefault="00A66BEF" w:rsidP="00A80AEB">
      <w:pPr>
        <w:pStyle w:val="Heading1"/>
      </w:pPr>
      <w:bookmarkStart w:id="59" w:name="_Toc529783777"/>
      <w:r>
        <w:lastRenderedPageBreak/>
        <w:t>4</w:t>
      </w:r>
      <w:r w:rsidR="00A80AEB">
        <w:tab/>
      </w:r>
      <w:r w:rsidR="009972F1" w:rsidRPr="00480BED">
        <w:t>Incident</w:t>
      </w:r>
      <w:r w:rsidR="009972F1" w:rsidRPr="009972F1">
        <w:t xml:space="preserve"> level</w:t>
      </w:r>
      <w:r w:rsidR="006A01AA">
        <w:t>s</w:t>
      </w:r>
      <w:bookmarkEnd w:id="59"/>
    </w:p>
    <w:p w14:paraId="1CEA34C5" w14:textId="43095F3A" w:rsidR="009972F1" w:rsidRPr="000C7A42" w:rsidRDefault="009972F1" w:rsidP="00766FF7">
      <w:pPr>
        <w:rPr>
          <w:b/>
        </w:rPr>
      </w:pPr>
      <w:r w:rsidRPr="00720B9C">
        <w:t xml:space="preserve">A response to an </w:t>
      </w:r>
      <w:r w:rsidR="006A01AA">
        <w:t>emergency wildlife disease (</w:t>
      </w:r>
      <w:r w:rsidRPr="00720B9C">
        <w:t>EWD</w:t>
      </w:r>
      <w:r w:rsidR="006A01AA">
        <w:t>),</w:t>
      </w:r>
      <w:r w:rsidRPr="00720B9C">
        <w:t xml:space="preserve"> like that for a biosecurity emergency or natural disaster</w:t>
      </w:r>
      <w:r w:rsidR="006A01AA">
        <w:t>,</w:t>
      </w:r>
      <w:r w:rsidRPr="00720B9C">
        <w:t xml:space="preserve"> may be attributed </w:t>
      </w:r>
      <w:r>
        <w:t>a response l</w:t>
      </w:r>
      <w:r w:rsidRPr="00720B9C">
        <w:t xml:space="preserve">evel. </w:t>
      </w:r>
      <w:r>
        <w:t xml:space="preserve">The level reflects the scale, complexity and risk of a response. </w:t>
      </w:r>
    </w:p>
    <w:p w14:paraId="267B1CA9" w14:textId="6737271F" w:rsidR="009972F1" w:rsidRDefault="009972F1" w:rsidP="00766FF7">
      <w:r>
        <w:t xml:space="preserve">A </w:t>
      </w:r>
      <w:r w:rsidRPr="001435E7">
        <w:rPr>
          <w:b/>
          <w:bCs/>
        </w:rPr>
        <w:t>Level 1 response</w:t>
      </w:r>
      <w:r w:rsidRPr="00720B9C">
        <w:t xml:space="preserve"> is local</w:t>
      </w:r>
      <w:r w:rsidR="006A01AA">
        <w:t>,</w:t>
      </w:r>
      <w:r w:rsidRPr="00720B9C">
        <w:t xml:space="preserve"> small scale</w:t>
      </w:r>
      <w:r w:rsidR="006A01AA">
        <w:t xml:space="preserve"> and of low complexity, involving a</w:t>
      </w:r>
      <w:r w:rsidRPr="00720B9C">
        <w:t xml:space="preserve"> </w:t>
      </w:r>
      <w:r>
        <w:t xml:space="preserve">relatively </w:t>
      </w:r>
      <w:r w:rsidR="006A01AA">
        <w:t>small</w:t>
      </w:r>
      <w:r w:rsidR="006A01AA" w:rsidRPr="00720B9C">
        <w:t xml:space="preserve"> </w:t>
      </w:r>
      <w:r>
        <w:t xml:space="preserve">number of mostly local </w:t>
      </w:r>
      <w:r w:rsidRPr="00720B9C">
        <w:t xml:space="preserve">personnel. </w:t>
      </w:r>
      <w:r>
        <w:t>State and territory coordination</w:t>
      </w:r>
      <w:r w:rsidR="006A01AA">
        <w:t>,</w:t>
      </w:r>
      <w:r>
        <w:t xml:space="preserve"> and national coordination will be at a relatively low level.</w:t>
      </w:r>
    </w:p>
    <w:p w14:paraId="5C074C1F" w14:textId="77777777" w:rsidR="009972F1" w:rsidRDefault="009972F1" w:rsidP="00766FF7">
      <w:r>
        <w:t xml:space="preserve">A </w:t>
      </w:r>
      <w:r w:rsidRPr="00D23955">
        <w:rPr>
          <w:b/>
        </w:rPr>
        <w:t xml:space="preserve">Level </w:t>
      </w:r>
      <w:r>
        <w:rPr>
          <w:b/>
        </w:rPr>
        <w:t xml:space="preserve">2 response </w:t>
      </w:r>
      <w:r w:rsidRPr="00C61934">
        <w:t>is a</w:t>
      </w:r>
      <w:r>
        <w:rPr>
          <w:b/>
        </w:rPr>
        <w:t xml:space="preserve"> </w:t>
      </w:r>
      <w:r>
        <w:t>local or regional response, with some support through state or territory coordination.</w:t>
      </w:r>
    </w:p>
    <w:p w14:paraId="1F001B1A" w14:textId="2F09810C" w:rsidR="009972F1" w:rsidRDefault="009972F1" w:rsidP="00766FF7">
      <w:r w:rsidRPr="00720B9C">
        <w:t xml:space="preserve">A </w:t>
      </w:r>
      <w:r w:rsidRPr="001435E7">
        <w:rPr>
          <w:b/>
        </w:rPr>
        <w:t>Level 3 response</w:t>
      </w:r>
      <w:r w:rsidRPr="00720B9C">
        <w:t xml:space="preserve"> is likely to affect</w:t>
      </w:r>
      <w:r>
        <w:t xml:space="preserve"> two or more</w:t>
      </w:r>
      <w:r w:rsidRPr="00720B9C">
        <w:t xml:space="preserve"> regions or areas of a state</w:t>
      </w:r>
      <w:r>
        <w:t xml:space="preserve"> or </w:t>
      </w:r>
      <w:r w:rsidRPr="00720B9C">
        <w:t>territory</w:t>
      </w:r>
      <w:r>
        <w:t>. A Level 3 response is</w:t>
      </w:r>
      <w:r w:rsidRPr="00720B9C">
        <w:t xml:space="preserve"> large scale</w:t>
      </w:r>
      <w:r w:rsidR="006A01AA" w:rsidRPr="006A01AA">
        <w:t xml:space="preserve"> </w:t>
      </w:r>
      <w:r w:rsidR="006A01AA" w:rsidRPr="00720B9C">
        <w:t xml:space="preserve">and </w:t>
      </w:r>
      <w:r w:rsidR="006A01AA">
        <w:t xml:space="preserve">with </w:t>
      </w:r>
      <w:r w:rsidR="006A01AA" w:rsidRPr="00720B9C">
        <w:t>a high level of complexity</w:t>
      </w:r>
      <w:r w:rsidRPr="00720B9C">
        <w:t xml:space="preserve">, </w:t>
      </w:r>
      <w:r w:rsidR="006A01AA">
        <w:t xml:space="preserve">involving </w:t>
      </w:r>
      <w:r w:rsidRPr="00720B9C">
        <w:t>significant numbers of personnel from across the state</w:t>
      </w:r>
      <w:r>
        <w:t xml:space="preserve"> or </w:t>
      </w:r>
      <w:r w:rsidRPr="00720B9C">
        <w:t>territory</w:t>
      </w:r>
      <w:r w:rsidR="006A01AA">
        <w:t>,</w:t>
      </w:r>
      <w:r w:rsidRPr="00720B9C">
        <w:t xml:space="preserve"> and f</w:t>
      </w:r>
      <w:r>
        <w:t>r</w:t>
      </w:r>
      <w:r w:rsidRPr="00720B9C">
        <w:t>o</w:t>
      </w:r>
      <w:r>
        <w:t>m</w:t>
      </w:r>
      <w:r w:rsidRPr="00720B9C">
        <w:t xml:space="preserve"> interstate. </w:t>
      </w:r>
    </w:p>
    <w:p w14:paraId="621C861E" w14:textId="74F205BA" w:rsidR="009972F1" w:rsidRDefault="009972F1" w:rsidP="00766FF7">
      <w:r>
        <w:t xml:space="preserve">A </w:t>
      </w:r>
      <w:r w:rsidRPr="00C61934">
        <w:rPr>
          <w:b/>
        </w:rPr>
        <w:t>Level 4</w:t>
      </w:r>
      <w:r>
        <w:t xml:space="preserve"> </w:t>
      </w:r>
      <w:r w:rsidRPr="00094108">
        <w:rPr>
          <w:b/>
        </w:rPr>
        <w:t>response</w:t>
      </w:r>
      <w:r>
        <w:t xml:space="preserve"> is very large</w:t>
      </w:r>
      <w:r w:rsidR="006A01AA">
        <w:t>,</w:t>
      </w:r>
      <w:r>
        <w:t xml:space="preserve"> with high complexity. One or more jurisdictions are involved in managing the response</w:t>
      </w:r>
      <w:r w:rsidR="006A01AA">
        <w:t>,</w:t>
      </w:r>
      <w:r>
        <w:t xml:space="preserve"> and a National Coordination Centre (NCC) is established to coordinate nationally available resources. </w:t>
      </w:r>
    </w:p>
    <w:p w14:paraId="7B520649" w14:textId="3FEA7194" w:rsidR="009972F1" w:rsidRPr="00720B9C" w:rsidRDefault="009972F1" w:rsidP="00766FF7">
      <w:r w:rsidRPr="00C61934">
        <w:t>A</w:t>
      </w:r>
      <w:r>
        <w:rPr>
          <w:b/>
        </w:rPr>
        <w:t xml:space="preserve"> </w:t>
      </w:r>
      <w:r w:rsidRPr="00C61934">
        <w:rPr>
          <w:b/>
        </w:rPr>
        <w:t>Level 5</w:t>
      </w:r>
      <w:r>
        <w:rPr>
          <w:b/>
        </w:rPr>
        <w:t xml:space="preserve"> </w:t>
      </w:r>
      <w:r w:rsidRPr="00094108">
        <w:rPr>
          <w:b/>
        </w:rPr>
        <w:t>response</w:t>
      </w:r>
      <w:r>
        <w:t xml:space="preserve"> is very large</w:t>
      </w:r>
      <w:r w:rsidR="006A01AA">
        <w:t>,</w:t>
      </w:r>
      <w:r>
        <w:t xml:space="preserve"> with high complexity. One or more jurisdictions are involved in managing the response</w:t>
      </w:r>
      <w:r w:rsidR="006A01AA">
        <w:t>,</w:t>
      </w:r>
      <w:r>
        <w:t xml:space="preserve"> and an NCC is established to coordinate </w:t>
      </w:r>
      <w:r w:rsidR="006A01AA">
        <w:t xml:space="preserve">both </w:t>
      </w:r>
      <w:r>
        <w:t>national and international resources.</w:t>
      </w:r>
    </w:p>
    <w:p w14:paraId="14C8131C" w14:textId="12D7D574" w:rsidR="009972F1" w:rsidRDefault="00C0122D" w:rsidP="00766FF7">
      <w:r>
        <w:t>S</w:t>
      </w:r>
      <w:r w:rsidR="009972F1" w:rsidRPr="00782BFE">
        <w:t>tate and territory</w:t>
      </w:r>
      <w:r w:rsidR="009972F1">
        <w:t xml:space="preserve"> coordination</w:t>
      </w:r>
      <w:r w:rsidR="009972F1" w:rsidRPr="00782BFE">
        <w:t xml:space="preserve">, and national coordination will </w:t>
      </w:r>
      <w:r>
        <w:t xml:space="preserve">play a key </w:t>
      </w:r>
      <w:r w:rsidR="009972F1" w:rsidRPr="00782BFE">
        <w:t>role</w:t>
      </w:r>
      <w:r>
        <w:t xml:space="preserve"> at </w:t>
      </w:r>
      <w:r w:rsidR="009972F1">
        <w:t>each response</w:t>
      </w:r>
      <w:r w:rsidR="009972F1" w:rsidRPr="00782BFE">
        <w:t xml:space="preserve"> level </w:t>
      </w:r>
      <w:r w:rsidR="009972F1">
        <w:t>of</w:t>
      </w:r>
      <w:r w:rsidR="009972F1" w:rsidRPr="00782BFE">
        <w:t xml:space="preserve"> an EWD and other </w:t>
      </w:r>
      <w:r w:rsidR="009972F1">
        <w:t xml:space="preserve">emergency </w:t>
      </w:r>
      <w:r w:rsidR="009972F1" w:rsidRPr="00782BFE">
        <w:t xml:space="preserve">biosecurity responses. </w:t>
      </w:r>
    </w:p>
    <w:p w14:paraId="117F52AD" w14:textId="02AF0543" w:rsidR="009972F1" w:rsidRDefault="009972F1" w:rsidP="00766FF7">
      <w:r w:rsidRPr="00CB35FB">
        <w:t>The Biosecurity Incident Management System</w:t>
      </w:r>
      <w:r w:rsidR="00CB35FB">
        <w:rPr>
          <w:rStyle w:val="FootnoteReference"/>
        </w:rPr>
        <w:footnoteReference w:id="14"/>
      </w:r>
      <w:r w:rsidRPr="00CB35FB">
        <w:t xml:space="preserve"> and </w:t>
      </w:r>
      <w:r w:rsidR="00C0122D" w:rsidRPr="00CB35FB">
        <w:t xml:space="preserve">the </w:t>
      </w:r>
      <w:r w:rsidRPr="00CB35FB">
        <w:t xml:space="preserve">AUSVETPLAN </w:t>
      </w:r>
      <w:r w:rsidRPr="00CB35FB">
        <w:rPr>
          <w:i/>
        </w:rPr>
        <w:t xml:space="preserve">Control </w:t>
      </w:r>
      <w:r w:rsidR="00CB35FB" w:rsidRPr="00CB35FB">
        <w:rPr>
          <w:i/>
        </w:rPr>
        <w:t>centres management manu</w:t>
      </w:r>
      <w:r w:rsidRPr="00CB35FB">
        <w:rPr>
          <w:i/>
        </w:rPr>
        <w:t>al</w:t>
      </w:r>
      <w:r w:rsidR="00CB35FB">
        <w:rPr>
          <w:rStyle w:val="FootnoteReference"/>
        </w:rPr>
        <w:footnoteReference w:id="15"/>
      </w:r>
      <w:r w:rsidRPr="00CB35FB">
        <w:t xml:space="preserve"> provide additional information for levels </w:t>
      </w:r>
      <w:r w:rsidR="006A01AA" w:rsidRPr="00CB35FB">
        <w:t>of a response.</w:t>
      </w:r>
    </w:p>
    <w:p w14:paraId="760F2873" w14:textId="27499F0D" w:rsidR="009972F1" w:rsidRPr="006A01AA" w:rsidRDefault="006A01AA" w:rsidP="00766FF7">
      <w:r>
        <w:t>Application of t</w:t>
      </w:r>
      <w:r w:rsidR="009972F1">
        <w:t xml:space="preserve">he </w:t>
      </w:r>
      <w:r w:rsidRPr="00EC0D05">
        <w:t>National Environmental Biosecurity Response Agreement</w:t>
      </w:r>
      <w:r w:rsidDel="006A01AA">
        <w:t xml:space="preserve"> </w:t>
      </w:r>
      <w:r w:rsidR="009972F1">
        <w:t>does not require the attribution of a level</w:t>
      </w:r>
      <w:r w:rsidR="009972F1" w:rsidRPr="006A01AA">
        <w:t xml:space="preserve">. </w:t>
      </w:r>
    </w:p>
    <w:p w14:paraId="41B643A9" w14:textId="308486D4" w:rsidR="00520CD5" w:rsidRPr="00292794" w:rsidRDefault="00A66BEF" w:rsidP="00A80AEB">
      <w:pPr>
        <w:pStyle w:val="Heading1"/>
      </w:pPr>
      <w:bookmarkStart w:id="60" w:name="_Toc529783778"/>
      <w:bookmarkStart w:id="61" w:name="_Hlk508709337"/>
      <w:r>
        <w:lastRenderedPageBreak/>
        <w:t>5</w:t>
      </w:r>
      <w:r w:rsidR="00A80AEB">
        <w:tab/>
      </w:r>
      <w:r w:rsidR="00520CD5" w:rsidRPr="00292794">
        <w:t xml:space="preserve">Incident </w:t>
      </w:r>
      <w:r w:rsidR="00232921">
        <w:t>p</w:t>
      </w:r>
      <w:r w:rsidR="00520CD5" w:rsidRPr="00292794">
        <w:t>hases</w:t>
      </w:r>
      <w:bookmarkEnd w:id="60"/>
    </w:p>
    <w:p w14:paraId="084E8EE1" w14:textId="4E6773EA" w:rsidR="00520CD5" w:rsidRPr="00FE68BC" w:rsidRDefault="00A66BEF" w:rsidP="00A80AEB">
      <w:pPr>
        <w:pStyle w:val="Heading2"/>
      </w:pPr>
      <w:bookmarkStart w:id="62" w:name="_Toc529783779"/>
      <w:bookmarkEnd w:id="61"/>
      <w:r>
        <w:t>5</w:t>
      </w:r>
      <w:r w:rsidR="00A80AEB">
        <w:t>.1</w:t>
      </w:r>
      <w:r w:rsidR="00A80AEB">
        <w:tab/>
      </w:r>
      <w:r w:rsidR="00A200C9">
        <w:t>I</w:t>
      </w:r>
      <w:r w:rsidR="00520CD5" w:rsidRPr="00FE68BC">
        <w:t>nvestigation</w:t>
      </w:r>
      <w:r w:rsidR="00A200C9">
        <w:t xml:space="preserve"> and </w:t>
      </w:r>
      <w:r w:rsidR="006C2B38">
        <w:t>a</w:t>
      </w:r>
      <w:r w:rsidR="00A200C9">
        <w:t>lert</w:t>
      </w:r>
      <w:bookmarkEnd w:id="62"/>
    </w:p>
    <w:p w14:paraId="48CBF11B" w14:textId="7CE24F12" w:rsidR="00520CD5" w:rsidRPr="001145B4" w:rsidRDefault="00520CD5" w:rsidP="00766FF7">
      <w:r w:rsidRPr="001145B4">
        <w:t>Th</w:t>
      </w:r>
      <w:r w:rsidR="006C2B38">
        <w:t>e investigation and alert</w:t>
      </w:r>
      <w:r w:rsidRPr="001145B4">
        <w:t xml:space="preserve"> phase is characterised by intense activity to establish the nature of the disease</w:t>
      </w:r>
      <w:r w:rsidR="006C2B38">
        <w:t>;</w:t>
      </w:r>
      <w:r w:rsidRPr="001145B4">
        <w:t xml:space="preserve"> exclu</w:t>
      </w:r>
      <w:r w:rsidR="006C2B38">
        <w:t>de</w:t>
      </w:r>
      <w:r w:rsidRPr="001145B4">
        <w:t xml:space="preserve"> </w:t>
      </w:r>
      <w:r w:rsidR="00AA71D5">
        <w:t>or confirm</w:t>
      </w:r>
      <w:r w:rsidRPr="001145B4">
        <w:t xml:space="preserve"> endemic diseases</w:t>
      </w:r>
      <w:r w:rsidR="006C2B38">
        <w:t>; and examine</w:t>
      </w:r>
      <w:r w:rsidRPr="001145B4">
        <w:t xml:space="preserve"> environmental causation, chemical </w:t>
      </w:r>
      <w:r w:rsidR="006C2B38">
        <w:t>(</w:t>
      </w:r>
      <w:r w:rsidRPr="001145B4">
        <w:t>including pesticide</w:t>
      </w:r>
      <w:r w:rsidR="006C2B38">
        <w:t>)</w:t>
      </w:r>
      <w:r w:rsidRPr="001145B4">
        <w:t xml:space="preserve"> causation</w:t>
      </w:r>
      <w:r w:rsidR="006C2B38">
        <w:t>,</w:t>
      </w:r>
      <w:r w:rsidRPr="001145B4">
        <w:t xml:space="preserve"> and mortality events that may be linked to </w:t>
      </w:r>
      <w:r w:rsidR="00C57BD3">
        <w:t xml:space="preserve">the </w:t>
      </w:r>
      <w:r w:rsidRPr="001145B4">
        <w:t xml:space="preserve">environment </w:t>
      </w:r>
      <w:r w:rsidR="006C2B38">
        <w:t>(eg </w:t>
      </w:r>
      <w:r w:rsidRPr="001145B4">
        <w:t>extreme weather and bushfires</w:t>
      </w:r>
      <w:r w:rsidR="006C2B38">
        <w:t>)</w:t>
      </w:r>
      <w:r w:rsidRPr="001145B4">
        <w:t xml:space="preserve">. The investigations will continue until a level of confidence exists </w:t>
      </w:r>
      <w:r w:rsidR="006C2B38">
        <w:t>in</w:t>
      </w:r>
      <w:r w:rsidR="006C2B38" w:rsidRPr="001145B4">
        <w:t xml:space="preserve"> </w:t>
      </w:r>
      <w:r w:rsidRPr="001145B4">
        <w:t>a positive or negative diagnosis.</w:t>
      </w:r>
    </w:p>
    <w:p w14:paraId="52ED6875" w14:textId="01EFBC36" w:rsidR="00520CD5" w:rsidRDefault="00520CD5" w:rsidP="00766FF7">
      <w:r w:rsidRPr="001145B4">
        <w:t xml:space="preserve">The investigations may continue over a protracted period. This may reflect the efforts needed to collect suitable samples from </w:t>
      </w:r>
      <w:r w:rsidR="00C57BD3">
        <w:t xml:space="preserve">the </w:t>
      </w:r>
      <w:r w:rsidRPr="001145B4">
        <w:t>target population</w:t>
      </w:r>
      <w:r w:rsidR="00C57BD3">
        <w:t>(</w:t>
      </w:r>
      <w:r w:rsidRPr="001145B4">
        <w:t>s</w:t>
      </w:r>
      <w:r w:rsidR="00C57BD3">
        <w:t>)</w:t>
      </w:r>
      <w:r w:rsidRPr="001145B4">
        <w:t xml:space="preserve">, </w:t>
      </w:r>
      <w:r w:rsidR="006C2B38">
        <w:t>and to</w:t>
      </w:r>
      <w:r w:rsidRPr="001145B4">
        <w:t xml:space="preserve"> isolat</w:t>
      </w:r>
      <w:r w:rsidR="006C2B38">
        <w:t>e</w:t>
      </w:r>
      <w:r w:rsidR="00543625">
        <w:t xml:space="preserve">, </w:t>
      </w:r>
      <w:r w:rsidR="00D47A29">
        <w:t>characteris</w:t>
      </w:r>
      <w:r w:rsidR="006C2B38">
        <w:t xml:space="preserve">e </w:t>
      </w:r>
      <w:r w:rsidR="00543625">
        <w:t xml:space="preserve">and diagnose </w:t>
      </w:r>
      <w:r w:rsidRPr="001145B4">
        <w:t xml:space="preserve">the </w:t>
      </w:r>
      <w:r w:rsidR="00654162">
        <w:t xml:space="preserve">suspect </w:t>
      </w:r>
      <w:r w:rsidR="006C2B38">
        <w:t>emergency wildlife disease (</w:t>
      </w:r>
      <w:r w:rsidRPr="001145B4">
        <w:t>EWD</w:t>
      </w:r>
      <w:r w:rsidR="006C2B38">
        <w:t xml:space="preserve">). If the EWD is </w:t>
      </w:r>
      <w:r w:rsidRPr="001145B4">
        <w:t>a new or emerging disease</w:t>
      </w:r>
      <w:r w:rsidR="006C2B38">
        <w:t>,</w:t>
      </w:r>
      <w:r w:rsidR="00543625">
        <w:t xml:space="preserve">  </w:t>
      </w:r>
      <w:r>
        <w:t xml:space="preserve">new testing methodologies </w:t>
      </w:r>
      <w:r w:rsidR="006C2B38">
        <w:t>may need to be developed</w:t>
      </w:r>
      <w:r>
        <w:t>.</w:t>
      </w:r>
      <w:r w:rsidR="00E453B3">
        <w:t xml:space="preserve"> Epidemiological investigations will be important for new or emerging diseases.</w:t>
      </w:r>
    </w:p>
    <w:p w14:paraId="260B8A83" w14:textId="449C0962" w:rsidR="00CC6300" w:rsidRPr="00067884" w:rsidRDefault="00CC6300" w:rsidP="00766FF7">
      <w:r>
        <w:t xml:space="preserve">At some point </w:t>
      </w:r>
      <w:r w:rsidR="00543625">
        <w:t xml:space="preserve">during </w:t>
      </w:r>
      <w:r>
        <w:t>this phase</w:t>
      </w:r>
      <w:r w:rsidR="00543625">
        <w:t>,</w:t>
      </w:r>
      <w:r>
        <w:t xml:space="preserve"> a decision will need to made </w:t>
      </w:r>
      <w:r w:rsidR="00543625">
        <w:t xml:space="preserve">about </w:t>
      </w:r>
      <w:r>
        <w:t xml:space="preserve">whether </w:t>
      </w:r>
      <w:r w:rsidR="00C6584F">
        <w:t>an</w:t>
      </w:r>
      <w:r w:rsidR="00C57BD3">
        <w:t xml:space="preserve"> emergency</w:t>
      </w:r>
      <w:r>
        <w:t xml:space="preserve"> response should be initiated. Triggers to initiate a</w:t>
      </w:r>
      <w:r w:rsidR="00C57BD3">
        <w:t>n emergency</w:t>
      </w:r>
      <w:r>
        <w:t xml:space="preserve"> response may include notification to either </w:t>
      </w:r>
      <w:r w:rsidR="00543625">
        <w:t xml:space="preserve">the </w:t>
      </w:r>
      <w:r>
        <w:t xml:space="preserve">state or territory </w:t>
      </w:r>
      <w:r w:rsidR="00543625">
        <w:t>chief veterinary officer (</w:t>
      </w:r>
      <w:r>
        <w:t>CVO</w:t>
      </w:r>
      <w:r w:rsidR="00543625">
        <w:t>)</w:t>
      </w:r>
      <w:r>
        <w:t xml:space="preserve"> or the A</w:t>
      </w:r>
      <w:r w:rsidR="00543625">
        <w:t xml:space="preserve">ustralian </w:t>
      </w:r>
      <w:r>
        <w:t xml:space="preserve">CVO, strong suspicion of </w:t>
      </w:r>
      <w:r w:rsidR="00543625">
        <w:t xml:space="preserve">a </w:t>
      </w:r>
      <w:r>
        <w:t xml:space="preserve">known EWD or </w:t>
      </w:r>
      <w:r w:rsidR="00543625">
        <w:t>an emergency animal disease (</w:t>
      </w:r>
      <w:r>
        <w:t>EAD</w:t>
      </w:r>
      <w:r w:rsidR="00543625">
        <w:t xml:space="preserve">), </w:t>
      </w:r>
      <w:r>
        <w:t xml:space="preserve">and </w:t>
      </w:r>
      <w:r w:rsidR="00543625">
        <w:t xml:space="preserve">suspicion that the </w:t>
      </w:r>
      <w:r>
        <w:t>incident will be of national significance with potential</w:t>
      </w:r>
      <w:r w:rsidR="00543625">
        <w:t>ly</w:t>
      </w:r>
      <w:r>
        <w:t xml:space="preserve"> serious impacts. </w:t>
      </w:r>
      <w:r w:rsidR="00E024B1">
        <w:t>Early a</w:t>
      </w:r>
      <w:r>
        <w:t>ctivation of a</w:t>
      </w:r>
      <w:r w:rsidR="00C57BD3">
        <w:t xml:space="preserve">n </w:t>
      </w:r>
      <w:r w:rsidR="00C57BD3" w:rsidRPr="00067884">
        <w:t>emergency</w:t>
      </w:r>
      <w:r w:rsidR="00E024B1" w:rsidRPr="00067884">
        <w:t xml:space="preserve"> response </w:t>
      </w:r>
      <w:r w:rsidRPr="00067884">
        <w:t xml:space="preserve">ensures </w:t>
      </w:r>
      <w:r w:rsidR="00543625">
        <w:t xml:space="preserve">that </w:t>
      </w:r>
      <w:r w:rsidRPr="00067884">
        <w:t xml:space="preserve">systems and structures </w:t>
      </w:r>
      <w:r w:rsidR="00543625">
        <w:t>can</w:t>
      </w:r>
      <w:r w:rsidRPr="00067884">
        <w:t xml:space="preserve"> </w:t>
      </w:r>
      <w:r w:rsidR="00366233" w:rsidRPr="00067884">
        <w:t xml:space="preserve">be </w:t>
      </w:r>
      <w:r w:rsidRPr="00FC6630">
        <w:t xml:space="preserve">more </w:t>
      </w:r>
      <w:r w:rsidR="005B4D41" w:rsidRPr="00FC6630">
        <w:t xml:space="preserve">easily </w:t>
      </w:r>
      <w:r w:rsidRPr="00FC6630">
        <w:t>scale</w:t>
      </w:r>
      <w:r w:rsidR="00C57BD3" w:rsidRPr="00FC6630">
        <w:t>d</w:t>
      </w:r>
      <w:r w:rsidRPr="00FC6630">
        <w:t xml:space="preserve"> up than in a catch-up situation. It is easier to stand down a response upon </w:t>
      </w:r>
      <w:r w:rsidR="00C57BD3" w:rsidRPr="00FC6630">
        <w:t xml:space="preserve">a </w:t>
      </w:r>
      <w:r w:rsidRPr="00FC6630">
        <w:t>negative result than to scale up a response well into this phase</w:t>
      </w:r>
      <w:r w:rsidRPr="00067884">
        <w:t xml:space="preserve">. </w:t>
      </w:r>
    </w:p>
    <w:p w14:paraId="49B0E051" w14:textId="3120DCD4" w:rsidR="00CC6300" w:rsidRPr="00FC6630" w:rsidRDefault="005B4D41" w:rsidP="00766FF7">
      <w:r w:rsidRPr="00FC6630">
        <w:t>At this early stage, t</w:t>
      </w:r>
      <w:r w:rsidR="00CC6300" w:rsidRPr="00FC6630">
        <w:t>he question of whether the suspect EWD is eradicable should not influence the decision to initiate a response.</w:t>
      </w:r>
    </w:p>
    <w:p w14:paraId="33214809" w14:textId="67A7FB5C" w:rsidR="00543625" w:rsidRPr="00543625" w:rsidRDefault="00CC6300" w:rsidP="00543625">
      <w:r>
        <w:t>A</w:t>
      </w:r>
      <w:r w:rsidR="00147EEA">
        <w:t xml:space="preserve">ctivities </w:t>
      </w:r>
      <w:r w:rsidR="00543625">
        <w:t xml:space="preserve">should be undertaken in conjunction with the investigation – for example, </w:t>
      </w:r>
      <w:r w:rsidR="00147EEA">
        <w:t>control measures to restrict and minimise the spread of the suspect EWD</w:t>
      </w:r>
      <w:r w:rsidR="00543625">
        <w:t>,</w:t>
      </w:r>
      <w:r w:rsidR="00147EEA">
        <w:t xml:space="preserve"> and surveillance to ascertain the extent of the suspect EWD </w:t>
      </w:r>
      <w:r w:rsidR="00B236F2">
        <w:t>and the host population</w:t>
      </w:r>
      <w:r w:rsidR="00654162">
        <w:t>.</w:t>
      </w:r>
      <w:r w:rsidR="00147EEA">
        <w:t xml:space="preserve"> A considerable amount of information</w:t>
      </w:r>
      <w:r w:rsidR="00543625">
        <w:t>,</w:t>
      </w:r>
      <w:r w:rsidR="00147EEA">
        <w:t xml:space="preserve"> </w:t>
      </w:r>
      <w:r w:rsidR="00654162">
        <w:t>including</w:t>
      </w:r>
      <w:r w:rsidR="0087775F">
        <w:t xml:space="preserve"> distribution and conservation status </w:t>
      </w:r>
      <w:r w:rsidR="00543625">
        <w:t xml:space="preserve">of the host population, </w:t>
      </w:r>
      <w:r w:rsidR="00147EEA">
        <w:t xml:space="preserve">will need to be collected and collated to support the development of </w:t>
      </w:r>
      <w:r w:rsidR="008B2AFD">
        <w:t>high-level</w:t>
      </w:r>
      <w:r w:rsidR="005B4D41">
        <w:t xml:space="preserve"> </w:t>
      </w:r>
      <w:r w:rsidR="00147EEA">
        <w:t>outputs such as national</w:t>
      </w:r>
      <w:r w:rsidR="00543625">
        <w:t>-</w:t>
      </w:r>
      <w:r w:rsidR="00147EEA">
        <w:t>level situation reports</w:t>
      </w:r>
      <w:r w:rsidR="00654162">
        <w:t xml:space="preserve"> and assessments</w:t>
      </w:r>
      <w:r w:rsidR="00147EEA">
        <w:t xml:space="preserve"> </w:t>
      </w:r>
      <w:r w:rsidR="00543625">
        <w:t>(see Section 6</w:t>
      </w:r>
      <w:r w:rsidR="00543625" w:rsidRPr="00543625">
        <w:t>.2).</w:t>
      </w:r>
    </w:p>
    <w:p w14:paraId="78CD2D90" w14:textId="6CAD11E0" w:rsidR="00520CD5" w:rsidRPr="00067884" w:rsidRDefault="00520CD5" w:rsidP="00543625">
      <w:r>
        <w:t xml:space="preserve">Efforts during this phase will need to determine whether production animals are </w:t>
      </w:r>
      <w:r w:rsidR="00543625">
        <w:t xml:space="preserve">affected </w:t>
      </w:r>
      <w:r w:rsidR="00654162">
        <w:t xml:space="preserve">or likely to be </w:t>
      </w:r>
      <w:r w:rsidRPr="00067884">
        <w:t>affected</w:t>
      </w:r>
      <w:r w:rsidR="00CA6B8A" w:rsidRPr="00067884">
        <w:t xml:space="preserve"> </w:t>
      </w:r>
      <w:r w:rsidRPr="00FC6630">
        <w:t xml:space="preserve">by the target disease. Confirmation of the target disease in production animals will mean </w:t>
      </w:r>
      <w:r w:rsidR="00543625">
        <w:t xml:space="preserve">that </w:t>
      </w:r>
      <w:r w:rsidRPr="00FC6630">
        <w:t xml:space="preserve">the response will need to be considered </w:t>
      </w:r>
      <w:r w:rsidR="00543625">
        <w:t>with</w:t>
      </w:r>
      <w:r w:rsidR="00543625" w:rsidRPr="00FC6630">
        <w:t xml:space="preserve"> </w:t>
      </w:r>
      <w:r w:rsidRPr="00FC6630">
        <w:t>regard to a cost</w:t>
      </w:r>
      <w:r w:rsidR="00543625">
        <w:t>-</w:t>
      </w:r>
      <w:r w:rsidRPr="00FC6630">
        <w:t xml:space="preserve">sharing arrangement other than the </w:t>
      </w:r>
      <w:r w:rsidR="00543625" w:rsidRPr="00EC0D05">
        <w:t>National Environmental Biosecurity Response Agreement</w:t>
      </w:r>
      <w:r w:rsidR="00543625" w:rsidRPr="00FC6630">
        <w:t xml:space="preserve"> </w:t>
      </w:r>
      <w:r w:rsidR="00543625">
        <w:t>(</w:t>
      </w:r>
      <w:r w:rsidRPr="00FC6630">
        <w:t>NEBRA</w:t>
      </w:r>
      <w:r w:rsidR="00543625">
        <w:t>) – for example, the Emergency Animal Disease Response Agreement</w:t>
      </w:r>
      <w:r w:rsidR="00EE0508" w:rsidRPr="00FC6630">
        <w:t>.</w:t>
      </w:r>
    </w:p>
    <w:p w14:paraId="7259DE14" w14:textId="6AB5B3D6" w:rsidR="00520CD5" w:rsidRPr="00FC6630" w:rsidRDefault="00520CD5" w:rsidP="00766FF7">
      <w:r w:rsidRPr="00FC6630">
        <w:t>It is essential that the A</w:t>
      </w:r>
      <w:r w:rsidR="00543625">
        <w:t xml:space="preserve">ustralian </w:t>
      </w:r>
      <w:r w:rsidRPr="00FC6630">
        <w:t xml:space="preserve">CVO is notified </w:t>
      </w:r>
      <w:r w:rsidR="00EE0508" w:rsidRPr="00FC6630">
        <w:t>within 24</w:t>
      </w:r>
      <w:r w:rsidR="00543625">
        <w:t> hours</w:t>
      </w:r>
      <w:r w:rsidR="00EE0508" w:rsidRPr="00FC6630">
        <w:t xml:space="preserve"> </w:t>
      </w:r>
      <w:r w:rsidRPr="00FC6630">
        <w:t>of a</w:t>
      </w:r>
      <w:r w:rsidR="005B4D41" w:rsidRPr="00FC6630">
        <w:t>n</w:t>
      </w:r>
      <w:r w:rsidR="00C77AA4" w:rsidRPr="00FC6630">
        <w:t xml:space="preserve"> </w:t>
      </w:r>
      <w:r w:rsidRPr="00FC6630">
        <w:t>EWD</w:t>
      </w:r>
      <w:r w:rsidR="005B4D41" w:rsidRPr="00FC6630">
        <w:t xml:space="preserve"> being suspected by a </w:t>
      </w:r>
      <w:r w:rsidR="008B2AFD" w:rsidRPr="00FC6630">
        <w:t>jurisdiction</w:t>
      </w:r>
      <w:r w:rsidRPr="00FC6630">
        <w:t xml:space="preserve">. </w:t>
      </w:r>
      <w:r w:rsidR="00543625">
        <w:t>N</w:t>
      </w:r>
      <w:r w:rsidRPr="00FC6630">
        <w:t xml:space="preserve">otification </w:t>
      </w:r>
      <w:r w:rsidR="00543625">
        <w:t>must</w:t>
      </w:r>
      <w:r w:rsidR="00543625" w:rsidRPr="00FC6630">
        <w:t xml:space="preserve"> </w:t>
      </w:r>
      <w:r w:rsidRPr="00FC6630">
        <w:t xml:space="preserve">occur even in the absence of </w:t>
      </w:r>
      <w:r w:rsidR="001C032D" w:rsidRPr="00FC6630">
        <w:t>confirmation</w:t>
      </w:r>
      <w:r w:rsidRPr="00FC6630">
        <w:t xml:space="preserve"> of an EWD. </w:t>
      </w:r>
      <w:r w:rsidR="00F37C08" w:rsidRPr="00FC6630">
        <w:t xml:space="preserve">Using information provided </w:t>
      </w:r>
      <w:r w:rsidR="006C1C38" w:rsidRPr="00FC6630">
        <w:t xml:space="preserve">by </w:t>
      </w:r>
      <w:r w:rsidR="00F37C08" w:rsidRPr="00FC6630">
        <w:t>the affected state or territory</w:t>
      </w:r>
      <w:r w:rsidR="006C1C38" w:rsidRPr="00FC6630">
        <w:t>,</w:t>
      </w:r>
      <w:r w:rsidR="00F37C08" w:rsidRPr="00FC6630">
        <w:t xml:space="preserve"> t</w:t>
      </w:r>
      <w:r w:rsidRPr="00FC6630">
        <w:t>he Australian Government will take the lead in providing advice to states and territories</w:t>
      </w:r>
      <w:r w:rsidR="00543625">
        <w:t>,</w:t>
      </w:r>
      <w:r w:rsidRPr="00FC6630">
        <w:t xml:space="preserve"> and across </w:t>
      </w:r>
      <w:r w:rsidR="00543625">
        <w:t xml:space="preserve">the </w:t>
      </w:r>
      <w:r w:rsidRPr="00FC6630">
        <w:t xml:space="preserve">Australian Government. </w:t>
      </w:r>
    </w:p>
    <w:p w14:paraId="7CA98D56" w14:textId="57E3EBC9" w:rsidR="00520CD5" w:rsidRDefault="00520CD5" w:rsidP="00766FF7">
      <w:r w:rsidRPr="00FC6630">
        <w:t>Each state</w:t>
      </w:r>
      <w:r w:rsidR="00B41D73" w:rsidRPr="00FC6630">
        <w:t xml:space="preserve"> </w:t>
      </w:r>
      <w:r w:rsidR="004B291C" w:rsidRPr="00FC6630">
        <w:t>and</w:t>
      </w:r>
      <w:r w:rsidR="00B41D73" w:rsidRPr="00FC6630">
        <w:t xml:space="preserve"> </w:t>
      </w:r>
      <w:r w:rsidRPr="00FC6630">
        <w:t>territory must identify the lead agency and supporting agency(s) during this phase</w:t>
      </w:r>
      <w:r w:rsidRPr="00067884">
        <w:t>.</w:t>
      </w:r>
      <w:r>
        <w:t xml:space="preserve"> The Australian Government will confirm </w:t>
      </w:r>
      <w:r w:rsidR="00543625">
        <w:t xml:space="preserve">its </w:t>
      </w:r>
      <w:r>
        <w:t>designated lead agency</w:t>
      </w:r>
      <w:r w:rsidR="00DB4158">
        <w:t>,</w:t>
      </w:r>
      <w:r>
        <w:t xml:space="preserve"> and establish the </w:t>
      </w:r>
      <w:r w:rsidR="00543625" w:rsidRPr="00543625">
        <w:t>National Biosecurity Management Group</w:t>
      </w:r>
      <w:r w:rsidR="003F63BF">
        <w:t xml:space="preserve"> (</w:t>
      </w:r>
      <w:r>
        <w:t>NBMG</w:t>
      </w:r>
      <w:r w:rsidR="003F63BF">
        <w:t>)</w:t>
      </w:r>
      <w:r>
        <w:t xml:space="preserve"> and the </w:t>
      </w:r>
      <w:r w:rsidR="00543625" w:rsidRPr="00543625">
        <w:t xml:space="preserve">National Biosecurity </w:t>
      </w:r>
      <w:r w:rsidR="00543625" w:rsidRPr="00543625">
        <w:lastRenderedPageBreak/>
        <w:t>Management Consultative Committee</w:t>
      </w:r>
      <w:r w:rsidR="0044345F" w:rsidRPr="00543625">
        <w:t xml:space="preserve"> </w:t>
      </w:r>
      <w:r w:rsidR="003F63BF">
        <w:t>(</w:t>
      </w:r>
      <w:r>
        <w:t>NBMCC</w:t>
      </w:r>
      <w:r w:rsidR="003F63BF">
        <w:t>)</w:t>
      </w:r>
      <w:r>
        <w:t>. The NBMCC is likely to meet frequently during this phase.</w:t>
      </w:r>
    </w:p>
    <w:p w14:paraId="6B50E925" w14:textId="38C75E4C" w:rsidR="00EE0508" w:rsidRDefault="005F035A" w:rsidP="00766FF7">
      <w:r>
        <w:t>In the affected state</w:t>
      </w:r>
      <w:r w:rsidR="00587898">
        <w:t xml:space="preserve"> </w:t>
      </w:r>
      <w:r w:rsidR="00FA217C">
        <w:t>or</w:t>
      </w:r>
      <w:r w:rsidR="00587898">
        <w:t xml:space="preserve"> </w:t>
      </w:r>
      <w:r w:rsidR="00231D4A">
        <w:t>territory,</w:t>
      </w:r>
      <w:r>
        <w:t xml:space="preserve"> a</w:t>
      </w:r>
      <w:r w:rsidR="00520CD5">
        <w:t xml:space="preserve"> </w:t>
      </w:r>
      <w:r w:rsidR="00EF4D75">
        <w:t xml:space="preserve">State </w:t>
      </w:r>
      <w:r w:rsidR="00432D74">
        <w:t>Coordination Centre (SCC)</w:t>
      </w:r>
      <w:r w:rsidR="00520CD5">
        <w:t xml:space="preserve"> and even </w:t>
      </w:r>
      <w:r w:rsidR="0086792A">
        <w:t>a</w:t>
      </w:r>
      <w:r w:rsidR="00520CD5">
        <w:t xml:space="preserve"> </w:t>
      </w:r>
      <w:r w:rsidR="00432D74">
        <w:t>Local Control Centre</w:t>
      </w:r>
      <w:r>
        <w:t>(s)</w:t>
      </w:r>
      <w:r w:rsidR="00432D74">
        <w:t xml:space="preserve"> (</w:t>
      </w:r>
      <w:r w:rsidR="00520CD5">
        <w:t>LCC</w:t>
      </w:r>
      <w:r w:rsidR="00432D74">
        <w:t>)</w:t>
      </w:r>
      <w:r w:rsidR="00520CD5">
        <w:t xml:space="preserve"> </w:t>
      </w:r>
      <w:r w:rsidR="00EE0508">
        <w:t>should</w:t>
      </w:r>
      <w:r w:rsidR="00520CD5">
        <w:t xml:space="preserve"> be activated during the </w:t>
      </w:r>
      <w:r w:rsidR="00DB4158">
        <w:t xml:space="preserve">investigation and alert </w:t>
      </w:r>
      <w:r w:rsidR="00520CD5">
        <w:t xml:space="preserve">phase to ensure </w:t>
      </w:r>
      <w:r w:rsidR="00DB4158">
        <w:t xml:space="preserve">that </w:t>
      </w:r>
      <w:r w:rsidR="00520CD5">
        <w:t xml:space="preserve">there is a structured and systematic approach to deliver the many outputs and outcomes of the phase. </w:t>
      </w:r>
    </w:p>
    <w:p w14:paraId="0FA027FD" w14:textId="1425B950" w:rsidR="00520CD5" w:rsidRPr="003610B2" w:rsidRDefault="00F37C08" w:rsidP="00766FF7">
      <w:r w:rsidRPr="00FC6630">
        <w:rPr>
          <w:bCs/>
        </w:rPr>
        <w:t>Eligible c</w:t>
      </w:r>
      <w:r w:rsidR="00520CD5" w:rsidRPr="00FC6630">
        <w:rPr>
          <w:bCs/>
        </w:rPr>
        <w:t xml:space="preserve">osts incurred during the </w:t>
      </w:r>
      <w:r w:rsidR="00DB4158">
        <w:rPr>
          <w:bCs/>
        </w:rPr>
        <w:t>i</w:t>
      </w:r>
      <w:r w:rsidR="003610B2" w:rsidRPr="00FC6630">
        <w:rPr>
          <w:bCs/>
        </w:rPr>
        <w:t>nvestigation</w:t>
      </w:r>
      <w:r w:rsidRPr="00FC6630">
        <w:rPr>
          <w:bCs/>
        </w:rPr>
        <w:t xml:space="preserve"> and </w:t>
      </w:r>
      <w:r w:rsidR="00DB4158">
        <w:rPr>
          <w:bCs/>
        </w:rPr>
        <w:t>a</w:t>
      </w:r>
      <w:r w:rsidR="0086792A" w:rsidRPr="00FC6630">
        <w:rPr>
          <w:bCs/>
        </w:rPr>
        <w:t xml:space="preserve">lert </w:t>
      </w:r>
      <w:r w:rsidR="00DB4158">
        <w:rPr>
          <w:bCs/>
        </w:rPr>
        <w:t>p</w:t>
      </w:r>
      <w:r w:rsidR="0086792A" w:rsidRPr="00FC6630">
        <w:rPr>
          <w:bCs/>
        </w:rPr>
        <w:t>hase</w:t>
      </w:r>
      <w:r w:rsidR="00520CD5" w:rsidRPr="00FC6630">
        <w:rPr>
          <w:bCs/>
        </w:rPr>
        <w:t xml:space="preserve"> can be claimed under the </w:t>
      </w:r>
      <w:r w:rsidR="0053681D" w:rsidRPr="00FC6630">
        <w:rPr>
          <w:bCs/>
        </w:rPr>
        <w:t>NEBRA</w:t>
      </w:r>
      <w:r w:rsidR="00520CD5" w:rsidRPr="00FC6630">
        <w:rPr>
          <w:bCs/>
        </w:rPr>
        <w:t xml:space="preserve"> if a </w:t>
      </w:r>
      <w:r w:rsidR="003610B2" w:rsidRPr="00FC6630">
        <w:rPr>
          <w:bCs/>
        </w:rPr>
        <w:t xml:space="preserve">National Biosecurity </w:t>
      </w:r>
      <w:r w:rsidR="00A06E98">
        <w:rPr>
          <w:bCs/>
        </w:rPr>
        <w:t xml:space="preserve">Incident </w:t>
      </w:r>
      <w:r w:rsidR="003610B2" w:rsidRPr="00FC6630">
        <w:rPr>
          <w:bCs/>
        </w:rPr>
        <w:t>Response Plan (</w:t>
      </w:r>
      <w:r w:rsidR="00520CD5" w:rsidRPr="00FC6630">
        <w:rPr>
          <w:bCs/>
        </w:rPr>
        <w:t>NRP</w:t>
      </w:r>
      <w:r w:rsidR="003610B2" w:rsidRPr="00FC6630">
        <w:rPr>
          <w:bCs/>
        </w:rPr>
        <w:t>)</w:t>
      </w:r>
      <w:r w:rsidR="00520CD5" w:rsidRPr="00FC6630">
        <w:rPr>
          <w:bCs/>
        </w:rPr>
        <w:t xml:space="preserve"> is a</w:t>
      </w:r>
      <w:r w:rsidRPr="00FC6630">
        <w:rPr>
          <w:bCs/>
        </w:rPr>
        <w:t>pproved</w:t>
      </w:r>
      <w:r w:rsidR="00520CD5" w:rsidRPr="00FC6630">
        <w:rPr>
          <w:bCs/>
        </w:rPr>
        <w:t xml:space="preserve"> on the basis that </w:t>
      </w:r>
      <w:r w:rsidR="00DB4158">
        <w:rPr>
          <w:bCs/>
        </w:rPr>
        <w:t xml:space="preserve">eradication of </w:t>
      </w:r>
      <w:r w:rsidR="00520CD5" w:rsidRPr="00FC6630">
        <w:rPr>
          <w:bCs/>
        </w:rPr>
        <w:t xml:space="preserve">the EWD is </w:t>
      </w:r>
      <w:r w:rsidRPr="00FC6630">
        <w:rPr>
          <w:bCs/>
        </w:rPr>
        <w:t>technically feasible</w:t>
      </w:r>
      <w:r w:rsidR="00DB4158">
        <w:rPr>
          <w:bCs/>
        </w:rPr>
        <w:t xml:space="preserve"> and will be </w:t>
      </w:r>
      <w:r w:rsidRPr="00FC6630">
        <w:rPr>
          <w:bCs/>
        </w:rPr>
        <w:t>cost effective</w:t>
      </w:r>
      <w:r w:rsidR="00DB4158">
        <w:rPr>
          <w:bCs/>
        </w:rPr>
        <w:t>,</w:t>
      </w:r>
      <w:r w:rsidRPr="00FC6630">
        <w:rPr>
          <w:bCs/>
        </w:rPr>
        <w:t xml:space="preserve"> and </w:t>
      </w:r>
      <w:r w:rsidR="00DB4158">
        <w:rPr>
          <w:bCs/>
        </w:rPr>
        <w:t xml:space="preserve">that the incident is </w:t>
      </w:r>
      <w:r w:rsidRPr="00FC6630">
        <w:rPr>
          <w:bCs/>
        </w:rPr>
        <w:t>nationally significant</w:t>
      </w:r>
      <w:r w:rsidR="00520CD5" w:rsidRPr="00FC6630">
        <w:rPr>
          <w:bCs/>
        </w:rPr>
        <w:t>.</w:t>
      </w:r>
      <w:r w:rsidR="003610B2" w:rsidRPr="00FC6630">
        <w:rPr>
          <w:bCs/>
        </w:rPr>
        <w:t xml:space="preserve"> The decision on eradicability</w:t>
      </w:r>
      <w:r w:rsidR="003610B2" w:rsidRPr="003610B2">
        <w:t xml:space="preserve"> may </w:t>
      </w:r>
      <w:r w:rsidR="00DB4158">
        <w:t xml:space="preserve">be made </w:t>
      </w:r>
      <w:r w:rsidR="003610B2" w:rsidRPr="003610B2">
        <w:t xml:space="preserve">well into the </w:t>
      </w:r>
      <w:r w:rsidR="00DB4158">
        <w:t>i</w:t>
      </w:r>
      <w:r w:rsidR="003610B2" w:rsidRPr="003610B2">
        <w:t>nvestigation</w:t>
      </w:r>
      <w:r w:rsidR="00253416">
        <w:t xml:space="preserve"> and </w:t>
      </w:r>
      <w:r w:rsidR="00DB4158">
        <w:t>a</w:t>
      </w:r>
      <w:r w:rsidR="00253416">
        <w:t>lert</w:t>
      </w:r>
      <w:r w:rsidR="003610B2" w:rsidRPr="003610B2">
        <w:t xml:space="preserve"> </w:t>
      </w:r>
      <w:r w:rsidR="00DB4158">
        <w:t>p</w:t>
      </w:r>
      <w:r w:rsidR="003610B2" w:rsidRPr="003610B2">
        <w:t xml:space="preserve">hase because of the need to collect significant information to inform the decision. </w:t>
      </w:r>
    </w:p>
    <w:p w14:paraId="79F2DA4E" w14:textId="21A85D18" w:rsidR="00093C90" w:rsidRDefault="00A45F50" w:rsidP="00766FF7">
      <w:r>
        <w:t xml:space="preserve">The steps and actions to be undertaken for the response to progress to a full </w:t>
      </w:r>
      <w:r w:rsidR="00DB4158">
        <w:t>o</w:t>
      </w:r>
      <w:r>
        <w:t xml:space="preserve">perations </w:t>
      </w:r>
      <w:r w:rsidR="00DB4158">
        <w:t>p</w:t>
      </w:r>
      <w:r>
        <w:t>hase are outlined in the flowchart in</w:t>
      </w:r>
      <w:r w:rsidR="00DB4158">
        <w:t xml:space="preserve"> Figure 5.1</w:t>
      </w:r>
      <w:r w:rsidR="008B0AD8" w:rsidRPr="00A81FA3">
        <w:t>.</w:t>
      </w:r>
      <w:r w:rsidR="008B0AD8">
        <w:t xml:space="preserve"> The </w:t>
      </w:r>
      <w:r w:rsidR="00DB4158">
        <w:t>f</w:t>
      </w:r>
      <w:r w:rsidR="008B0AD8">
        <w:t>igure</w:t>
      </w:r>
      <w:r w:rsidR="00C77AA4">
        <w:t xml:space="preserve"> also </w:t>
      </w:r>
      <w:r w:rsidR="0019671F">
        <w:t xml:space="preserve">shows </w:t>
      </w:r>
      <w:r w:rsidR="005B4D41">
        <w:t xml:space="preserve">the actions </w:t>
      </w:r>
      <w:r>
        <w:t xml:space="preserve">required for a response to </w:t>
      </w:r>
      <w:r w:rsidR="004D2990">
        <w:t xml:space="preserve">be </w:t>
      </w:r>
      <w:r>
        <w:t>fully funded under the NEBRA. Operation</w:t>
      </w:r>
      <w:r w:rsidR="00432D74">
        <w:t>al activities</w:t>
      </w:r>
      <w:r>
        <w:t xml:space="preserve"> will be necessary </w:t>
      </w:r>
      <w:r w:rsidR="003610B2">
        <w:t>for</w:t>
      </w:r>
      <w:r>
        <w:t xml:space="preserve"> completion of all the actions in the flowchart.</w:t>
      </w:r>
    </w:p>
    <w:p w14:paraId="4EB6859C" w14:textId="399F9433" w:rsidR="008B0AD8" w:rsidRPr="00A81FA3" w:rsidRDefault="0019671F" w:rsidP="00766FF7">
      <w:r>
        <w:t>Table 5.1 provides a</w:t>
      </w:r>
      <w:r w:rsidR="008B0AD8">
        <w:t xml:space="preserve"> checklist of</w:t>
      </w:r>
      <w:r w:rsidR="00565CDD">
        <w:t xml:space="preserve"> </w:t>
      </w:r>
      <w:r w:rsidR="008B0AD8">
        <w:t xml:space="preserve">key </w:t>
      </w:r>
      <w:r w:rsidR="00565CDD">
        <w:t xml:space="preserve">actions </w:t>
      </w:r>
      <w:r w:rsidR="008B0AD8">
        <w:t xml:space="preserve">to be completed </w:t>
      </w:r>
      <w:r w:rsidR="00565CDD">
        <w:t>during the initial stages of a response</w:t>
      </w:r>
      <w:r>
        <w:t>.</w:t>
      </w:r>
    </w:p>
    <w:p w14:paraId="0DC980AE" w14:textId="3A052A2A" w:rsidR="0019671F" w:rsidRDefault="009B5390" w:rsidP="0019671F">
      <w:pPr>
        <w:pStyle w:val="NormalBeforeBullet"/>
      </w:pPr>
      <w:r w:rsidRPr="00FC6630">
        <w:t xml:space="preserve">The </w:t>
      </w:r>
      <w:r w:rsidR="0019671F">
        <w:t xml:space="preserve">investigation and alert </w:t>
      </w:r>
      <w:r w:rsidRPr="00FC6630">
        <w:t xml:space="preserve">phase will cease </w:t>
      </w:r>
      <w:r w:rsidR="0019671F">
        <w:t xml:space="preserve">when </w:t>
      </w:r>
      <w:r w:rsidRPr="00FC6630">
        <w:t>either</w:t>
      </w:r>
      <w:r w:rsidR="0019671F">
        <w:t>:</w:t>
      </w:r>
    </w:p>
    <w:p w14:paraId="256DB535" w14:textId="28C97BD5" w:rsidR="0019671F" w:rsidRDefault="00520CD5" w:rsidP="0019671F">
      <w:pPr>
        <w:pStyle w:val="Bullet"/>
      </w:pPr>
      <w:r w:rsidRPr="00FC6630">
        <w:t xml:space="preserve">it is nationally agreed </w:t>
      </w:r>
      <w:r w:rsidR="0019671F">
        <w:t>t</w:t>
      </w:r>
      <w:r w:rsidR="00C573DE" w:rsidRPr="00FC6630">
        <w:t xml:space="preserve">hat </w:t>
      </w:r>
      <w:r w:rsidR="0019671F">
        <w:t xml:space="preserve">the EWD </w:t>
      </w:r>
      <w:r w:rsidR="00C573DE" w:rsidRPr="00FC6630">
        <w:t>is not nationally significant</w:t>
      </w:r>
      <w:r w:rsidR="0019671F">
        <w:t>, or that</w:t>
      </w:r>
      <w:r w:rsidR="00C573DE" w:rsidRPr="00FC6630">
        <w:t xml:space="preserve"> </w:t>
      </w:r>
      <w:r w:rsidR="0019671F">
        <w:t xml:space="preserve">eradication of </w:t>
      </w:r>
      <w:r w:rsidR="0019671F" w:rsidRPr="00FC6630">
        <w:t xml:space="preserve">the EWD </w:t>
      </w:r>
      <w:r w:rsidR="0019671F">
        <w:t xml:space="preserve">is </w:t>
      </w:r>
      <w:r w:rsidR="00C573DE" w:rsidRPr="00FC6630">
        <w:t>not technically feasible or cost effective</w:t>
      </w:r>
      <w:r w:rsidRPr="00FC6630">
        <w:t xml:space="preserve">, or </w:t>
      </w:r>
    </w:p>
    <w:p w14:paraId="78C00898" w14:textId="2A411DE6" w:rsidR="00A45F50" w:rsidRPr="00FC6630" w:rsidRDefault="0086792A" w:rsidP="00230CCC">
      <w:pPr>
        <w:pStyle w:val="BulletLast"/>
      </w:pPr>
      <w:r w:rsidRPr="00FC6630">
        <w:t>an</w:t>
      </w:r>
      <w:r w:rsidR="00520CD5" w:rsidRPr="00FC6630">
        <w:t xml:space="preserve"> NRP is approved for implementation</w:t>
      </w:r>
      <w:r w:rsidR="003610B2" w:rsidRPr="00FC6630">
        <w:t xml:space="preserve"> to eradicate</w:t>
      </w:r>
      <w:r w:rsidR="0019671F">
        <w:t xml:space="preserve"> the EWD</w:t>
      </w:r>
      <w:r w:rsidR="00520CD5" w:rsidRPr="00FC6630">
        <w:t>.</w:t>
      </w:r>
    </w:p>
    <w:p w14:paraId="25A82DD5" w14:textId="77777777" w:rsidR="005A7007" w:rsidRDefault="00BB3489" w:rsidP="005A7007">
      <w:pPr>
        <w:rPr>
          <w:rFonts w:cstheme="minorHAnsi"/>
          <w:b/>
          <w:i/>
          <w:color w:val="000000" w:themeColor="text1"/>
        </w:rPr>
      </w:pPr>
      <w:r>
        <w:rPr>
          <w:noProof/>
        </w:rPr>
        <w:lastRenderedPageBreak/>
        <w:drawing>
          <wp:inline distT="0" distB="0" distL="0" distR="0" wp14:anchorId="5AC6C28E" wp14:editId="74CCA571">
            <wp:extent cx="6099337" cy="7389340"/>
            <wp:effectExtent l="0" t="0" r="0" b="2540"/>
            <wp:docPr id="47" name="Picture 3">
              <a:extLst xmlns:a="http://schemas.openxmlformats.org/drawingml/2006/main">
                <a:ext uri="{FF2B5EF4-FFF2-40B4-BE49-F238E27FC236}">
                  <a16:creationId xmlns:a16="http://schemas.microsoft.com/office/drawing/2014/main" id="{3593C695-7335-4E02-B7E0-1B0FDD6131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3593C695-7335-4E02-B7E0-1B0FDD61319D}"/>
                        </a:ext>
                      </a:extLst>
                    </pic:cNvPr>
                    <pic:cNvPicPr>
                      <a:picLocks noChangeAspect="1"/>
                    </pic:cNvPicPr>
                  </pic:nvPicPr>
                  <pic:blipFill rotWithShape="1">
                    <a:blip r:embed="rId20"/>
                    <a:srcRect l="2133" t="2566" r="-1" b="7065"/>
                    <a:stretch/>
                  </pic:blipFill>
                  <pic:spPr bwMode="auto">
                    <a:xfrm>
                      <a:off x="0" y="0"/>
                      <a:ext cx="6113337" cy="7406301"/>
                    </a:xfrm>
                    <a:prstGeom prst="rect">
                      <a:avLst/>
                    </a:prstGeom>
                    <a:ln>
                      <a:noFill/>
                    </a:ln>
                    <a:extLst>
                      <a:ext uri="{53640926-AAD7-44D8-BBD7-CCE9431645EC}">
                        <a14:shadowObscured xmlns:a14="http://schemas.microsoft.com/office/drawing/2010/main"/>
                      </a:ext>
                    </a:extLst>
                  </pic:spPr>
                </pic:pic>
              </a:graphicData>
            </a:graphic>
          </wp:inline>
        </w:drawing>
      </w:r>
    </w:p>
    <w:p w14:paraId="0D077E89" w14:textId="78E687E0" w:rsidR="002207E2" w:rsidRDefault="002207E2" w:rsidP="002207E2">
      <w:pPr>
        <w:pStyle w:val="TFAbbrevs"/>
      </w:pPr>
      <w:bookmarkStart w:id="63" w:name="_Hlk508715756"/>
      <w:bookmarkStart w:id="64" w:name="_Hlk508715617"/>
      <w:r>
        <w:t xml:space="preserve">NBMCC = </w:t>
      </w:r>
      <w:r w:rsidRPr="00647A3A">
        <w:t>National Biosecurity Management Consultative Committee</w:t>
      </w:r>
      <w:r>
        <w:t xml:space="preserve">; NBMG = </w:t>
      </w:r>
      <w:r w:rsidRPr="00647A3A">
        <w:t>National Biosecurity Management Group</w:t>
      </w:r>
      <w:r>
        <w:t xml:space="preserve">; NRP = </w:t>
      </w:r>
      <w:r w:rsidRPr="00647A3A">
        <w:t>National Biosecurity Incident Response Plan</w:t>
      </w:r>
    </w:p>
    <w:p w14:paraId="717E4ADD" w14:textId="4554D5A8" w:rsidR="00BB3489" w:rsidRDefault="00766FF7" w:rsidP="00766FF7">
      <w:pPr>
        <w:pStyle w:val="FigureName"/>
      </w:pPr>
      <w:bookmarkStart w:id="65" w:name="_Toc527712264"/>
      <w:r w:rsidRPr="00CB35FB">
        <w:t xml:space="preserve">Figure </w:t>
      </w:r>
      <w:r w:rsidR="00F04EC2" w:rsidRPr="00CB35FB">
        <w:t>5.1</w:t>
      </w:r>
      <w:r w:rsidRPr="00CB35FB">
        <w:tab/>
      </w:r>
      <w:r w:rsidR="00066E4C" w:rsidRPr="00CB35FB">
        <w:t>Schedule 1 of the NEBRA</w:t>
      </w:r>
      <w:r w:rsidR="00CB35FB">
        <w:t xml:space="preserve"> –</w:t>
      </w:r>
      <w:r w:rsidR="00066E4C" w:rsidRPr="00CB35FB">
        <w:t xml:space="preserve"> </w:t>
      </w:r>
      <w:r w:rsidR="0019671F" w:rsidRPr="00CB35FB">
        <w:t>f</w:t>
      </w:r>
      <w:r w:rsidR="00066E4C" w:rsidRPr="00CB35FB">
        <w:t>lowchart of approach to national biosecurity incident response</w:t>
      </w:r>
      <w:bookmarkEnd w:id="63"/>
      <w:bookmarkEnd w:id="65"/>
    </w:p>
    <w:p w14:paraId="3A08009E" w14:textId="687768F6" w:rsidR="00F73A28" w:rsidRPr="007040D4" w:rsidRDefault="000F033A" w:rsidP="00766FF7">
      <w:pPr>
        <w:pStyle w:val="TableName"/>
      </w:pPr>
      <w:r>
        <w:br w:type="page"/>
      </w:r>
      <w:bookmarkStart w:id="66" w:name="_Toc527712883"/>
      <w:bookmarkEnd w:id="64"/>
      <w:r w:rsidR="00766FF7">
        <w:lastRenderedPageBreak/>
        <w:t>Table 1</w:t>
      </w:r>
      <w:r w:rsidR="00766FF7">
        <w:tab/>
      </w:r>
      <w:r w:rsidR="00F73A28" w:rsidRPr="004B3C2E">
        <w:t>Checklist of key actions to be undertaken during the initial stages of an EWD response</w:t>
      </w:r>
      <w:bookmarkEnd w:id="66"/>
      <w:r w:rsidR="00F73A28" w:rsidDel="004B3C2E">
        <w:rPr>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36"/>
        <w:gridCol w:w="2551"/>
        <w:gridCol w:w="1418"/>
        <w:gridCol w:w="1111"/>
      </w:tblGrid>
      <w:tr w:rsidR="004B3C2E" w14:paraId="7AAE971E" w14:textId="77777777" w:rsidTr="004E4C48">
        <w:trPr>
          <w:tblHeader/>
        </w:trPr>
        <w:tc>
          <w:tcPr>
            <w:tcW w:w="3936" w:type="dxa"/>
            <w:tcBorders>
              <w:top w:val="single" w:sz="4" w:space="0" w:color="auto"/>
              <w:bottom w:val="single" w:sz="4" w:space="0" w:color="auto"/>
            </w:tcBorders>
            <w:shd w:val="clear" w:color="auto" w:fill="auto"/>
          </w:tcPr>
          <w:p w14:paraId="3AC5C5A6" w14:textId="77777777" w:rsidR="004B3C2E" w:rsidRPr="00FF74B4" w:rsidRDefault="004B3C2E" w:rsidP="0019671F">
            <w:pPr>
              <w:pStyle w:val="TableHeading"/>
              <w:keepNext w:val="0"/>
            </w:pPr>
            <w:r w:rsidRPr="00FF74B4">
              <w:t>Action</w:t>
            </w:r>
          </w:p>
        </w:tc>
        <w:tc>
          <w:tcPr>
            <w:tcW w:w="2551" w:type="dxa"/>
            <w:tcBorders>
              <w:top w:val="single" w:sz="4" w:space="0" w:color="auto"/>
              <w:bottom w:val="single" w:sz="4" w:space="0" w:color="auto"/>
            </w:tcBorders>
            <w:shd w:val="clear" w:color="auto" w:fill="auto"/>
          </w:tcPr>
          <w:p w14:paraId="503C4B98" w14:textId="77777777" w:rsidR="004B3C2E" w:rsidRPr="00FF74B4" w:rsidRDefault="004B3C2E" w:rsidP="0019671F">
            <w:pPr>
              <w:pStyle w:val="TableHeading"/>
              <w:keepNext w:val="0"/>
            </w:pPr>
            <w:r w:rsidRPr="00FF74B4">
              <w:t>Outcome</w:t>
            </w:r>
          </w:p>
        </w:tc>
        <w:tc>
          <w:tcPr>
            <w:tcW w:w="1418" w:type="dxa"/>
            <w:tcBorders>
              <w:top w:val="single" w:sz="4" w:space="0" w:color="auto"/>
              <w:bottom w:val="single" w:sz="4" w:space="0" w:color="auto"/>
            </w:tcBorders>
            <w:shd w:val="clear" w:color="auto" w:fill="auto"/>
          </w:tcPr>
          <w:p w14:paraId="342CDB57" w14:textId="77777777" w:rsidR="004B3C2E" w:rsidRPr="0044216F" w:rsidRDefault="004B3C2E" w:rsidP="0019671F">
            <w:pPr>
              <w:pStyle w:val="TableHeading"/>
              <w:keepNext w:val="0"/>
              <w:rPr>
                <w:sz w:val="18"/>
                <w:szCs w:val="18"/>
              </w:rPr>
            </w:pPr>
            <w:r w:rsidRPr="0044216F">
              <w:rPr>
                <w:sz w:val="18"/>
                <w:szCs w:val="18"/>
              </w:rPr>
              <w:t>Responsibility</w:t>
            </w:r>
          </w:p>
        </w:tc>
        <w:tc>
          <w:tcPr>
            <w:tcW w:w="1111" w:type="dxa"/>
            <w:tcBorders>
              <w:top w:val="single" w:sz="4" w:space="0" w:color="auto"/>
              <w:bottom w:val="single" w:sz="4" w:space="0" w:color="auto"/>
            </w:tcBorders>
            <w:shd w:val="clear" w:color="auto" w:fill="auto"/>
          </w:tcPr>
          <w:p w14:paraId="41587C8A" w14:textId="5DB245A1" w:rsidR="004B3C2E" w:rsidRPr="0044216F" w:rsidRDefault="004B3C2E" w:rsidP="0019671F">
            <w:pPr>
              <w:pStyle w:val="TableHeading"/>
              <w:keepNext w:val="0"/>
              <w:rPr>
                <w:sz w:val="18"/>
                <w:szCs w:val="18"/>
              </w:rPr>
            </w:pPr>
            <w:r w:rsidRPr="0044216F">
              <w:rPr>
                <w:sz w:val="18"/>
                <w:szCs w:val="18"/>
              </w:rPr>
              <w:t>Complete</w:t>
            </w:r>
            <w:r w:rsidR="00E6019F">
              <w:rPr>
                <w:sz w:val="18"/>
                <w:szCs w:val="18"/>
              </w:rPr>
              <w:t xml:space="preserve"> (date and time)</w:t>
            </w:r>
          </w:p>
        </w:tc>
      </w:tr>
      <w:tr w:rsidR="004B3C2E" w14:paraId="77FE8699" w14:textId="77777777" w:rsidTr="003A5469">
        <w:tc>
          <w:tcPr>
            <w:tcW w:w="3936" w:type="dxa"/>
            <w:tcBorders>
              <w:top w:val="single" w:sz="4" w:space="0" w:color="auto"/>
            </w:tcBorders>
            <w:shd w:val="clear" w:color="auto" w:fill="auto"/>
          </w:tcPr>
          <w:p w14:paraId="16E843B3" w14:textId="20BAE297" w:rsidR="004B3C2E" w:rsidRPr="00B02B7C" w:rsidRDefault="004B3C2E" w:rsidP="0019671F">
            <w:pPr>
              <w:pStyle w:val="TableText0"/>
              <w:keepNext w:val="0"/>
            </w:pPr>
            <w:r>
              <w:t>Suspect case or signs reported to government laboratory and/or state or territory CVO</w:t>
            </w:r>
          </w:p>
          <w:p w14:paraId="4BF0CFFB" w14:textId="1E52E62A" w:rsidR="004B3C2E" w:rsidRPr="00B02B7C" w:rsidRDefault="003A5469" w:rsidP="003A5469">
            <w:pPr>
              <w:pStyle w:val="TableText0"/>
            </w:pPr>
            <w:r>
              <w:t>See Section 5.1</w:t>
            </w:r>
          </w:p>
        </w:tc>
        <w:tc>
          <w:tcPr>
            <w:tcW w:w="2551" w:type="dxa"/>
            <w:tcBorders>
              <w:top w:val="single" w:sz="4" w:space="0" w:color="auto"/>
            </w:tcBorders>
            <w:shd w:val="clear" w:color="auto" w:fill="auto"/>
          </w:tcPr>
          <w:p w14:paraId="7067A17A" w14:textId="1662F0C8" w:rsidR="004B3C2E" w:rsidRPr="00FF74B4" w:rsidRDefault="004B3C2E" w:rsidP="0019671F">
            <w:pPr>
              <w:pStyle w:val="TableText0"/>
              <w:keepNext w:val="0"/>
            </w:pPr>
            <w:r>
              <w:t>Authorities are aware of suspect EWD</w:t>
            </w:r>
            <w:r w:rsidR="00AC373D">
              <w:t>,</w:t>
            </w:r>
            <w:r>
              <w:t xml:space="preserve"> and obligations under NEBRA </w:t>
            </w:r>
            <w:r w:rsidR="00AC373D">
              <w:t xml:space="preserve">are </w:t>
            </w:r>
            <w:r>
              <w:t>met</w:t>
            </w:r>
          </w:p>
        </w:tc>
        <w:tc>
          <w:tcPr>
            <w:tcW w:w="1418" w:type="dxa"/>
            <w:tcBorders>
              <w:top w:val="single" w:sz="4" w:space="0" w:color="auto"/>
            </w:tcBorders>
            <w:shd w:val="clear" w:color="auto" w:fill="auto"/>
          </w:tcPr>
          <w:p w14:paraId="52AAC898" w14:textId="77777777" w:rsidR="004B3C2E" w:rsidRPr="00AC373D" w:rsidRDefault="004B3C2E" w:rsidP="00AC373D">
            <w:pPr>
              <w:pStyle w:val="TableText0"/>
            </w:pPr>
            <w:r w:rsidRPr="00AC373D">
              <w:t>Field operative</w:t>
            </w:r>
          </w:p>
        </w:tc>
        <w:tc>
          <w:tcPr>
            <w:tcW w:w="1111" w:type="dxa"/>
            <w:tcBorders>
              <w:top w:val="single" w:sz="4" w:space="0" w:color="auto"/>
            </w:tcBorders>
            <w:shd w:val="clear" w:color="auto" w:fill="auto"/>
          </w:tcPr>
          <w:p w14:paraId="7CDE520C" w14:textId="77777777" w:rsidR="004B3C2E" w:rsidRPr="00FF74B4" w:rsidRDefault="004B3C2E" w:rsidP="0019671F">
            <w:pPr>
              <w:pStyle w:val="TableText0"/>
              <w:keepNext w:val="0"/>
            </w:pPr>
          </w:p>
        </w:tc>
      </w:tr>
      <w:tr w:rsidR="004B3C2E" w14:paraId="0400708E" w14:textId="77777777" w:rsidTr="003A5469">
        <w:tc>
          <w:tcPr>
            <w:tcW w:w="3936" w:type="dxa"/>
            <w:shd w:val="clear" w:color="auto" w:fill="auto"/>
          </w:tcPr>
          <w:p w14:paraId="5271ED65" w14:textId="6D54A8D5" w:rsidR="00E6019F" w:rsidRDefault="004B3C2E" w:rsidP="0019671F">
            <w:pPr>
              <w:pStyle w:val="TableText0"/>
              <w:keepNext w:val="0"/>
            </w:pPr>
            <w:r>
              <w:t xml:space="preserve">Suspect case investigated to determine </w:t>
            </w:r>
            <w:r w:rsidR="00AC373D">
              <w:t xml:space="preserve">whether it is a </w:t>
            </w:r>
            <w:r>
              <w:t>potential EWD</w:t>
            </w:r>
          </w:p>
          <w:p w14:paraId="7A7E9FAD" w14:textId="10967F49" w:rsidR="004B3C2E" w:rsidRDefault="00E6019F" w:rsidP="0019671F">
            <w:pPr>
              <w:pStyle w:val="TableText0"/>
              <w:keepNext w:val="0"/>
            </w:pPr>
            <w:r>
              <w:t xml:space="preserve">Actions taken to </w:t>
            </w:r>
            <w:r w:rsidR="004B3C2E">
              <w:t>contain and minimise spread</w:t>
            </w:r>
            <w:r>
              <w:t>,</w:t>
            </w:r>
            <w:r w:rsidR="004B3C2E">
              <w:t xml:space="preserve"> including consideration of legal options </w:t>
            </w:r>
            <w:r w:rsidR="00AC373D">
              <w:t>(</w:t>
            </w:r>
            <w:r w:rsidR="004B3C2E">
              <w:t>eg</w:t>
            </w:r>
            <w:r w:rsidR="00AC373D">
              <w:t> </w:t>
            </w:r>
            <w:r w:rsidR="004B3C2E">
              <w:t>quarantine</w:t>
            </w:r>
            <w:r w:rsidR="00AC373D">
              <w:t>)</w:t>
            </w:r>
          </w:p>
          <w:p w14:paraId="10CFE2D6" w14:textId="6C5F1D92" w:rsidR="004B3C2E" w:rsidRPr="00B02B7C" w:rsidRDefault="003A5469" w:rsidP="003A5469">
            <w:pPr>
              <w:pStyle w:val="TableText0"/>
            </w:pPr>
            <w:r>
              <w:t>See Sections 2.1 and 5.1</w:t>
            </w:r>
          </w:p>
        </w:tc>
        <w:tc>
          <w:tcPr>
            <w:tcW w:w="2551" w:type="dxa"/>
            <w:shd w:val="clear" w:color="auto" w:fill="auto"/>
          </w:tcPr>
          <w:p w14:paraId="123DD614" w14:textId="77777777" w:rsidR="004B3C2E" w:rsidRDefault="004B3C2E" w:rsidP="0019671F">
            <w:pPr>
              <w:pStyle w:val="TableText0"/>
              <w:keepNext w:val="0"/>
            </w:pPr>
            <w:r>
              <w:t>Authorities investigate in accordance with legislation, policy and procedures</w:t>
            </w:r>
          </w:p>
          <w:p w14:paraId="06A7DEBD" w14:textId="77777777" w:rsidR="00E6019F" w:rsidRDefault="004B3C2E" w:rsidP="0019671F">
            <w:pPr>
              <w:pStyle w:val="TableText0"/>
              <w:keepNext w:val="0"/>
            </w:pPr>
            <w:r>
              <w:t>Spread is minimised</w:t>
            </w:r>
          </w:p>
          <w:p w14:paraId="694A88CB" w14:textId="17FE5018" w:rsidR="004B3C2E" w:rsidRPr="00FF74B4" w:rsidRDefault="00E6019F" w:rsidP="0019671F">
            <w:pPr>
              <w:pStyle w:val="TableText0"/>
              <w:keepNext w:val="0"/>
            </w:pPr>
            <w:r>
              <w:t>I</w:t>
            </w:r>
            <w:r w:rsidR="004B3C2E">
              <w:t xml:space="preserve">nformation </w:t>
            </w:r>
            <w:r>
              <w:t xml:space="preserve">is </w:t>
            </w:r>
            <w:r w:rsidR="004B3C2E">
              <w:t>gathered to inform national decision making</w:t>
            </w:r>
          </w:p>
        </w:tc>
        <w:tc>
          <w:tcPr>
            <w:tcW w:w="1418" w:type="dxa"/>
            <w:shd w:val="clear" w:color="auto" w:fill="auto"/>
          </w:tcPr>
          <w:p w14:paraId="6B6EB12E" w14:textId="254F2175" w:rsidR="004B3C2E" w:rsidRPr="00AC373D" w:rsidRDefault="00E6019F" w:rsidP="00AC373D">
            <w:pPr>
              <w:pStyle w:val="TableText0"/>
            </w:pPr>
            <w:r>
              <w:t>S</w:t>
            </w:r>
            <w:r w:rsidR="004B3C2E" w:rsidRPr="00AC373D">
              <w:t xml:space="preserve">tate or territory </w:t>
            </w:r>
            <w:r>
              <w:t>lead agency</w:t>
            </w:r>
          </w:p>
        </w:tc>
        <w:tc>
          <w:tcPr>
            <w:tcW w:w="1111" w:type="dxa"/>
            <w:shd w:val="clear" w:color="auto" w:fill="auto"/>
          </w:tcPr>
          <w:p w14:paraId="10901EF6" w14:textId="77777777" w:rsidR="004B3C2E" w:rsidRPr="00FF74B4" w:rsidRDefault="004B3C2E" w:rsidP="0019671F">
            <w:pPr>
              <w:pStyle w:val="TableText0"/>
              <w:keepNext w:val="0"/>
            </w:pPr>
          </w:p>
        </w:tc>
      </w:tr>
      <w:tr w:rsidR="004B3C2E" w14:paraId="35879754" w14:textId="77777777" w:rsidTr="003A5469">
        <w:tc>
          <w:tcPr>
            <w:tcW w:w="3936" w:type="dxa"/>
            <w:shd w:val="clear" w:color="auto" w:fill="auto"/>
          </w:tcPr>
          <w:p w14:paraId="1FEA9902" w14:textId="37E650CB" w:rsidR="004B3C2E" w:rsidRPr="0044216F" w:rsidRDefault="004B3C2E" w:rsidP="0019671F">
            <w:pPr>
              <w:pStyle w:val="TableText0"/>
              <w:keepNext w:val="0"/>
            </w:pPr>
            <w:r>
              <w:t xml:space="preserve">Suspect case reported to ACVO or nominee within </w:t>
            </w:r>
            <w:r w:rsidR="00E6019F">
              <w:t>24 hours</w:t>
            </w:r>
            <w:r>
              <w:t xml:space="preserve"> of detection</w:t>
            </w:r>
          </w:p>
          <w:p w14:paraId="4605FCC9" w14:textId="4FAB0EA0" w:rsidR="004B3C2E" w:rsidRPr="0044216F" w:rsidRDefault="003A5469" w:rsidP="003A5469">
            <w:pPr>
              <w:pStyle w:val="TableText0"/>
            </w:pPr>
            <w:r>
              <w:t>See Section 5.1</w:t>
            </w:r>
          </w:p>
        </w:tc>
        <w:tc>
          <w:tcPr>
            <w:tcW w:w="2551" w:type="dxa"/>
            <w:shd w:val="clear" w:color="auto" w:fill="auto"/>
          </w:tcPr>
          <w:p w14:paraId="6EBF920B" w14:textId="77777777" w:rsidR="004B3C2E" w:rsidRPr="00FF74B4" w:rsidRDefault="004B3C2E" w:rsidP="0019671F">
            <w:pPr>
              <w:pStyle w:val="TableText0"/>
              <w:keepNext w:val="0"/>
            </w:pPr>
            <w:r>
              <w:t>ACVO or nominee is aware and can notify other NEBRA parties</w:t>
            </w:r>
          </w:p>
        </w:tc>
        <w:tc>
          <w:tcPr>
            <w:tcW w:w="1418" w:type="dxa"/>
            <w:shd w:val="clear" w:color="auto" w:fill="auto"/>
          </w:tcPr>
          <w:p w14:paraId="4652A6D5" w14:textId="39F55E78" w:rsidR="004B3C2E" w:rsidRPr="00AC373D" w:rsidRDefault="00E6019F" w:rsidP="00AC373D">
            <w:pPr>
              <w:pStyle w:val="TableText0"/>
            </w:pPr>
            <w:r>
              <w:t>State or territory l</w:t>
            </w:r>
            <w:r w:rsidR="004B3C2E" w:rsidRPr="00AC373D">
              <w:t xml:space="preserve">ead </w:t>
            </w:r>
            <w:r>
              <w:t>and</w:t>
            </w:r>
            <w:r w:rsidR="004B3C2E" w:rsidRPr="00AC373D">
              <w:t xml:space="preserve"> CVO</w:t>
            </w:r>
          </w:p>
        </w:tc>
        <w:tc>
          <w:tcPr>
            <w:tcW w:w="1111" w:type="dxa"/>
            <w:shd w:val="clear" w:color="auto" w:fill="auto"/>
          </w:tcPr>
          <w:p w14:paraId="6BD71683" w14:textId="77777777" w:rsidR="004B3C2E" w:rsidRPr="00FF74B4" w:rsidRDefault="004B3C2E" w:rsidP="0019671F">
            <w:pPr>
              <w:pStyle w:val="TableText0"/>
              <w:keepNext w:val="0"/>
            </w:pPr>
          </w:p>
        </w:tc>
      </w:tr>
      <w:tr w:rsidR="004B3C2E" w14:paraId="130B1506" w14:textId="77777777" w:rsidTr="003A5469">
        <w:tc>
          <w:tcPr>
            <w:tcW w:w="3936" w:type="dxa"/>
            <w:shd w:val="clear" w:color="auto" w:fill="auto"/>
          </w:tcPr>
          <w:p w14:paraId="2DC52F2F" w14:textId="77777777" w:rsidR="004B3C2E" w:rsidRDefault="004B3C2E" w:rsidP="0019671F">
            <w:pPr>
              <w:pStyle w:val="TableText0"/>
              <w:keepNext w:val="0"/>
            </w:pPr>
            <w:r>
              <w:t>Incident response structures and systems activated</w:t>
            </w:r>
          </w:p>
          <w:p w14:paraId="1EBBF384" w14:textId="5476A361" w:rsidR="004B3C2E" w:rsidRPr="0044216F" w:rsidRDefault="003A5469" w:rsidP="003A5469">
            <w:pPr>
              <w:pStyle w:val="TableText0"/>
            </w:pPr>
            <w:r>
              <w:t>See Sections 3.4, 5.1 and 7</w:t>
            </w:r>
            <w:r w:rsidR="00E6019F">
              <w:t>;</w:t>
            </w:r>
            <w:r>
              <w:t xml:space="preserve"> and Appendix </w:t>
            </w:r>
            <w:r w:rsidR="000266D1">
              <w:t>7</w:t>
            </w:r>
          </w:p>
        </w:tc>
        <w:tc>
          <w:tcPr>
            <w:tcW w:w="2551" w:type="dxa"/>
            <w:shd w:val="clear" w:color="auto" w:fill="auto"/>
          </w:tcPr>
          <w:p w14:paraId="2B79CD38" w14:textId="08725631" w:rsidR="004B3C2E" w:rsidRPr="00FF74B4" w:rsidRDefault="004B3C2E" w:rsidP="0019671F">
            <w:pPr>
              <w:pStyle w:val="TableText0"/>
              <w:keepNext w:val="0"/>
            </w:pPr>
            <w:r>
              <w:t xml:space="preserve">Structured and systematic approach </w:t>
            </w:r>
            <w:r w:rsidR="00E6019F">
              <w:t xml:space="preserve">is used </w:t>
            </w:r>
            <w:r>
              <w:t>from start of response</w:t>
            </w:r>
          </w:p>
        </w:tc>
        <w:tc>
          <w:tcPr>
            <w:tcW w:w="1418" w:type="dxa"/>
            <w:shd w:val="clear" w:color="auto" w:fill="auto"/>
          </w:tcPr>
          <w:p w14:paraId="7AC2B502" w14:textId="0BBB65B7" w:rsidR="004B3C2E" w:rsidRPr="00AC373D" w:rsidRDefault="00E6019F" w:rsidP="00AC373D">
            <w:pPr>
              <w:pStyle w:val="TableText0"/>
            </w:pPr>
            <w:r>
              <w:t>S</w:t>
            </w:r>
            <w:r w:rsidRPr="00AC373D">
              <w:t xml:space="preserve">tate or territory </w:t>
            </w:r>
            <w:r>
              <w:t>l</w:t>
            </w:r>
            <w:r w:rsidR="004B3C2E" w:rsidRPr="00AC373D">
              <w:t xml:space="preserve">ead agency </w:t>
            </w:r>
          </w:p>
        </w:tc>
        <w:tc>
          <w:tcPr>
            <w:tcW w:w="1111" w:type="dxa"/>
            <w:shd w:val="clear" w:color="auto" w:fill="auto"/>
          </w:tcPr>
          <w:p w14:paraId="1AA6FB80" w14:textId="77777777" w:rsidR="004B3C2E" w:rsidRPr="00FF74B4" w:rsidRDefault="004B3C2E" w:rsidP="0019671F">
            <w:pPr>
              <w:pStyle w:val="TableText0"/>
              <w:keepNext w:val="0"/>
            </w:pPr>
          </w:p>
        </w:tc>
      </w:tr>
      <w:tr w:rsidR="004B3C2E" w14:paraId="306431C3" w14:textId="77777777" w:rsidTr="003A5469">
        <w:tc>
          <w:tcPr>
            <w:tcW w:w="3936" w:type="dxa"/>
            <w:shd w:val="clear" w:color="auto" w:fill="auto"/>
          </w:tcPr>
          <w:p w14:paraId="2B325183" w14:textId="0894466C" w:rsidR="004B3C2E" w:rsidRPr="003A5469" w:rsidRDefault="004B3C2E" w:rsidP="003A5469">
            <w:pPr>
              <w:pStyle w:val="TableText0"/>
            </w:pPr>
            <w:r w:rsidRPr="003A5469">
              <w:t xml:space="preserve">Financial </w:t>
            </w:r>
            <w:r w:rsidR="00E6019F">
              <w:t>m</w:t>
            </w:r>
            <w:r w:rsidRPr="003A5469">
              <w:t>anagement system</w:t>
            </w:r>
            <w:r w:rsidR="00E6019F">
              <w:t>,</w:t>
            </w:r>
            <w:r w:rsidRPr="003A5469">
              <w:t xml:space="preserve"> including cost codes</w:t>
            </w:r>
            <w:r w:rsidR="00E6019F">
              <w:t>,</w:t>
            </w:r>
            <w:r w:rsidRPr="003A5469">
              <w:t xml:space="preserve"> activated</w:t>
            </w:r>
          </w:p>
          <w:p w14:paraId="42CECB6F" w14:textId="6589694F" w:rsidR="004B3C2E" w:rsidRPr="003A5469" w:rsidRDefault="003A5469" w:rsidP="003A5469">
            <w:pPr>
              <w:pStyle w:val="TableText0"/>
            </w:pPr>
            <w:r>
              <w:t>See Section 10</w:t>
            </w:r>
          </w:p>
        </w:tc>
        <w:tc>
          <w:tcPr>
            <w:tcW w:w="2551" w:type="dxa"/>
            <w:shd w:val="clear" w:color="auto" w:fill="auto"/>
          </w:tcPr>
          <w:p w14:paraId="125F2EBA" w14:textId="6399F3F5" w:rsidR="004B3C2E" w:rsidRPr="00FF74B4" w:rsidRDefault="004B3C2E" w:rsidP="0019671F">
            <w:pPr>
              <w:pStyle w:val="TableText0"/>
              <w:keepNext w:val="0"/>
            </w:pPr>
            <w:r>
              <w:t xml:space="preserve">Expenditure </w:t>
            </w:r>
            <w:r w:rsidR="00E6019F">
              <w:t xml:space="preserve">is </w:t>
            </w:r>
            <w:r>
              <w:t>captured and known from start of response</w:t>
            </w:r>
            <w:r w:rsidR="00E6019F">
              <w:t>, providing g</w:t>
            </w:r>
            <w:r>
              <w:t>ood basis for budgets</w:t>
            </w:r>
          </w:p>
        </w:tc>
        <w:tc>
          <w:tcPr>
            <w:tcW w:w="1418" w:type="dxa"/>
            <w:shd w:val="clear" w:color="auto" w:fill="auto"/>
          </w:tcPr>
          <w:p w14:paraId="68906165" w14:textId="2430EC4D" w:rsidR="004B3C2E" w:rsidRPr="00AC373D" w:rsidRDefault="004B3C2E" w:rsidP="00AC373D">
            <w:pPr>
              <w:pStyle w:val="TableText0"/>
            </w:pPr>
            <w:r w:rsidRPr="00AC373D">
              <w:t xml:space="preserve">Department </w:t>
            </w:r>
            <w:r w:rsidR="00E6019F">
              <w:t>chief financial officer</w:t>
            </w:r>
          </w:p>
        </w:tc>
        <w:tc>
          <w:tcPr>
            <w:tcW w:w="1111" w:type="dxa"/>
            <w:shd w:val="clear" w:color="auto" w:fill="auto"/>
          </w:tcPr>
          <w:p w14:paraId="05F55901" w14:textId="77777777" w:rsidR="004B3C2E" w:rsidRPr="00FF74B4" w:rsidRDefault="004B3C2E" w:rsidP="0019671F">
            <w:pPr>
              <w:pStyle w:val="TableText0"/>
              <w:keepNext w:val="0"/>
            </w:pPr>
          </w:p>
        </w:tc>
      </w:tr>
      <w:tr w:rsidR="004B3C2E" w14:paraId="47AB2556" w14:textId="77777777" w:rsidTr="003A5469">
        <w:tc>
          <w:tcPr>
            <w:tcW w:w="3936" w:type="dxa"/>
            <w:shd w:val="clear" w:color="auto" w:fill="auto"/>
          </w:tcPr>
          <w:p w14:paraId="0ED5DABD" w14:textId="1C93DB62" w:rsidR="004B3C2E" w:rsidRDefault="004B3C2E" w:rsidP="0019671F">
            <w:pPr>
              <w:pStyle w:val="TableText0"/>
              <w:keepNext w:val="0"/>
            </w:pPr>
            <w:r>
              <w:t>Agree</w:t>
            </w:r>
            <w:r w:rsidR="00E6019F">
              <w:t>ment</w:t>
            </w:r>
            <w:r>
              <w:t xml:space="preserve"> on state or territory lead and supporting agency representatives for NBMG and NBMCC</w:t>
            </w:r>
          </w:p>
          <w:p w14:paraId="35869144" w14:textId="17FF90EB" w:rsidR="004B3C2E" w:rsidRPr="00177353" w:rsidRDefault="003A5469" w:rsidP="003A5469">
            <w:pPr>
              <w:pStyle w:val="TableText0"/>
            </w:pPr>
            <w:r>
              <w:t>See Sections 3.3 and 5.1</w:t>
            </w:r>
          </w:p>
        </w:tc>
        <w:tc>
          <w:tcPr>
            <w:tcW w:w="2551" w:type="dxa"/>
            <w:shd w:val="clear" w:color="auto" w:fill="auto"/>
          </w:tcPr>
          <w:p w14:paraId="067FB60C" w14:textId="101DC7EB" w:rsidR="004B3C2E" w:rsidRPr="00FF74B4" w:rsidRDefault="004B3C2E" w:rsidP="0019671F">
            <w:pPr>
              <w:pStyle w:val="TableText0"/>
              <w:keepNext w:val="0"/>
            </w:pPr>
            <w:r>
              <w:t>Lead and supporting agenc</w:t>
            </w:r>
            <w:r w:rsidR="00E6019F">
              <w:t>y</w:t>
            </w:r>
            <w:r>
              <w:t xml:space="preserve"> representatives </w:t>
            </w:r>
            <w:r w:rsidR="00E6019F">
              <w:t xml:space="preserve">are </w:t>
            </w:r>
            <w:r>
              <w:t xml:space="preserve">identified and ready to represent on relevant national group </w:t>
            </w:r>
            <w:r w:rsidR="00E6019F">
              <w:t>or</w:t>
            </w:r>
            <w:r>
              <w:t xml:space="preserve"> committee</w:t>
            </w:r>
          </w:p>
        </w:tc>
        <w:tc>
          <w:tcPr>
            <w:tcW w:w="1418" w:type="dxa"/>
            <w:shd w:val="clear" w:color="auto" w:fill="auto"/>
          </w:tcPr>
          <w:p w14:paraId="6C77A3C1" w14:textId="77777777" w:rsidR="004B3C2E" w:rsidRPr="00AC373D" w:rsidRDefault="004B3C2E" w:rsidP="00AC373D">
            <w:pPr>
              <w:pStyle w:val="TableText0"/>
            </w:pPr>
            <w:r w:rsidRPr="00AC373D">
              <w:t>Department heads</w:t>
            </w:r>
          </w:p>
        </w:tc>
        <w:tc>
          <w:tcPr>
            <w:tcW w:w="1111" w:type="dxa"/>
            <w:shd w:val="clear" w:color="auto" w:fill="auto"/>
          </w:tcPr>
          <w:p w14:paraId="44D20233" w14:textId="77777777" w:rsidR="004B3C2E" w:rsidRPr="00FF74B4" w:rsidRDefault="004B3C2E" w:rsidP="0019671F">
            <w:pPr>
              <w:pStyle w:val="TableText0"/>
              <w:keepNext w:val="0"/>
            </w:pPr>
          </w:p>
        </w:tc>
      </w:tr>
      <w:tr w:rsidR="004B3C2E" w14:paraId="3099096A" w14:textId="77777777" w:rsidTr="003A5469">
        <w:tc>
          <w:tcPr>
            <w:tcW w:w="3936" w:type="dxa"/>
            <w:shd w:val="clear" w:color="auto" w:fill="auto"/>
          </w:tcPr>
          <w:p w14:paraId="0BC420AC" w14:textId="77777777" w:rsidR="004B3C2E" w:rsidRDefault="004B3C2E" w:rsidP="0019671F">
            <w:pPr>
              <w:pStyle w:val="TableText0"/>
              <w:keepNext w:val="0"/>
            </w:pPr>
            <w:r>
              <w:t>Communications and community engagement managed locally, regionally and nationally</w:t>
            </w:r>
          </w:p>
          <w:p w14:paraId="7DF575DD" w14:textId="0D9830EC" w:rsidR="004B3C2E" w:rsidRPr="00FF74B4" w:rsidRDefault="003A5469" w:rsidP="003A5469">
            <w:pPr>
              <w:pStyle w:val="TableText0"/>
            </w:pPr>
            <w:r>
              <w:t xml:space="preserve">See Section 7.1 and Appendix </w:t>
            </w:r>
            <w:r w:rsidR="000266D1">
              <w:t>5</w:t>
            </w:r>
          </w:p>
        </w:tc>
        <w:tc>
          <w:tcPr>
            <w:tcW w:w="2551" w:type="dxa"/>
            <w:shd w:val="clear" w:color="auto" w:fill="auto"/>
          </w:tcPr>
          <w:p w14:paraId="4CB78988" w14:textId="77777777" w:rsidR="004B3C2E" w:rsidRPr="00FF74B4" w:rsidRDefault="004B3C2E" w:rsidP="0019671F">
            <w:pPr>
              <w:pStyle w:val="TableText0"/>
              <w:keepNext w:val="0"/>
            </w:pPr>
            <w:r>
              <w:t>Partners, community and government are aware of investigation and response, and more likely to be supportive</w:t>
            </w:r>
          </w:p>
        </w:tc>
        <w:tc>
          <w:tcPr>
            <w:tcW w:w="1418" w:type="dxa"/>
            <w:shd w:val="clear" w:color="auto" w:fill="auto"/>
          </w:tcPr>
          <w:p w14:paraId="38241620" w14:textId="4287AE6D" w:rsidR="004B3C2E" w:rsidRPr="00AC373D" w:rsidRDefault="004B3C2E" w:rsidP="00AC373D">
            <w:pPr>
              <w:pStyle w:val="TableText0"/>
            </w:pPr>
            <w:r w:rsidRPr="00AC373D">
              <w:t xml:space="preserve">SCC and LCC </w:t>
            </w:r>
            <w:r w:rsidRPr="004D2990">
              <w:t>Community Engagement</w:t>
            </w:r>
            <w:r w:rsidR="00BC2E0B">
              <w:t xml:space="preserve"> and Media Liaison</w:t>
            </w:r>
          </w:p>
        </w:tc>
        <w:tc>
          <w:tcPr>
            <w:tcW w:w="1111" w:type="dxa"/>
            <w:shd w:val="clear" w:color="auto" w:fill="auto"/>
          </w:tcPr>
          <w:p w14:paraId="5B719CCB" w14:textId="77777777" w:rsidR="004B3C2E" w:rsidRPr="00FF74B4" w:rsidRDefault="004B3C2E" w:rsidP="0019671F">
            <w:pPr>
              <w:pStyle w:val="TableText0"/>
              <w:keepNext w:val="0"/>
            </w:pPr>
          </w:p>
        </w:tc>
      </w:tr>
      <w:tr w:rsidR="004B3C2E" w14:paraId="1E22EDA1" w14:textId="77777777" w:rsidTr="003A5469">
        <w:tc>
          <w:tcPr>
            <w:tcW w:w="3936" w:type="dxa"/>
            <w:shd w:val="clear" w:color="auto" w:fill="auto"/>
          </w:tcPr>
          <w:p w14:paraId="7A0AF009" w14:textId="500D2F4C" w:rsidR="004B3C2E" w:rsidRDefault="004B3C2E" w:rsidP="0019671F">
            <w:pPr>
              <w:pStyle w:val="TableText0"/>
              <w:keepNext w:val="0"/>
            </w:pPr>
            <w:r>
              <w:t xml:space="preserve">Determine </w:t>
            </w:r>
            <w:r w:rsidR="00E6019F">
              <w:t xml:space="preserve">whether </w:t>
            </w:r>
            <w:r>
              <w:t xml:space="preserve">suspect EWD </w:t>
            </w:r>
            <w:r w:rsidR="00E6019F">
              <w:t xml:space="preserve">is </w:t>
            </w:r>
            <w:r>
              <w:t xml:space="preserve">covered by </w:t>
            </w:r>
            <w:r w:rsidR="00952923">
              <w:t>existing arrangements such as EADRA or NEBRA</w:t>
            </w:r>
          </w:p>
          <w:p w14:paraId="0554C417" w14:textId="0063A67F" w:rsidR="004B3C2E" w:rsidRPr="00333264" w:rsidRDefault="003A5469" w:rsidP="003A5469">
            <w:pPr>
              <w:pStyle w:val="TableText0"/>
            </w:pPr>
            <w:r>
              <w:t>See Section 5.1</w:t>
            </w:r>
          </w:p>
        </w:tc>
        <w:tc>
          <w:tcPr>
            <w:tcW w:w="2551" w:type="dxa"/>
            <w:shd w:val="clear" w:color="auto" w:fill="auto"/>
          </w:tcPr>
          <w:p w14:paraId="1FF34B5F" w14:textId="09F70CD7" w:rsidR="004B3C2E" w:rsidRPr="00FF74B4" w:rsidRDefault="00952923" w:rsidP="0019671F">
            <w:pPr>
              <w:pStyle w:val="TableText0"/>
              <w:keepNext w:val="0"/>
            </w:pPr>
            <w:r>
              <w:t>D</w:t>
            </w:r>
            <w:r w:rsidR="004B3C2E">
              <w:t>ecision</w:t>
            </w:r>
            <w:r>
              <w:t xml:space="preserve"> is made</w:t>
            </w:r>
            <w:r w:rsidR="004B3C2E">
              <w:t xml:space="preserve"> on whether response is covered by existing arrangements such </w:t>
            </w:r>
            <w:r w:rsidR="00E6019F">
              <w:t xml:space="preserve">as </w:t>
            </w:r>
            <w:r w:rsidR="004B3C2E">
              <w:t>EADRA or NEBRA</w:t>
            </w:r>
          </w:p>
        </w:tc>
        <w:tc>
          <w:tcPr>
            <w:tcW w:w="1418" w:type="dxa"/>
            <w:shd w:val="clear" w:color="auto" w:fill="auto"/>
          </w:tcPr>
          <w:p w14:paraId="539F4B03" w14:textId="77777777" w:rsidR="004B3C2E" w:rsidRPr="00AC373D" w:rsidRDefault="004B3C2E" w:rsidP="00AC373D">
            <w:pPr>
              <w:pStyle w:val="TableText0"/>
            </w:pPr>
            <w:r w:rsidRPr="00AC373D">
              <w:t>SCC</w:t>
            </w:r>
          </w:p>
        </w:tc>
        <w:tc>
          <w:tcPr>
            <w:tcW w:w="1111" w:type="dxa"/>
            <w:shd w:val="clear" w:color="auto" w:fill="auto"/>
          </w:tcPr>
          <w:p w14:paraId="210D8137" w14:textId="77777777" w:rsidR="004B3C2E" w:rsidRPr="00FF74B4" w:rsidRDefault="004B3C2E" w:rsidP="0019671F">
            <w:pPr>
              <w:pStyle w:val="TableText0"/>
              <w:keepNext w:val="0"/>
            </w:pPr>
          </w:p>
        </w:tc>
      </w:tr>
      <w:tr w:rsidR="004B3C2E" w14:paraId="70E15BBD" w14:textId="77777777" w:rsidTr="003A5469">
        <w:tc>
          <w:tcPr>
            <w:tcW w:w="3936" w:type="dxa"/>
            <w:shd w:val="clear" w:color="auto" w:fill="auto"/>
          </w:tcPr>
          <w:p w14:paraId="3D02FA60" w14:textId="62A8B198" w:rsidR="004B3C2E" w:rsidRDefault="004B3C2E" w:rsidP="0019671F">
            <w:pPr>
              <w:pStyle w:val="TableText0"/>
              <w:keepNext w:val="0"/>
            </w:pPr>
            <w:r>
              <w:t>Develop documentation for consideration by national forums</w:t>
            </w:r>
            <w:r w:rsidR="00952923">
              <w:t>:</w:t>
            </w:r>
          </w:p>
          <w:p w14:paraId="364C1A41" w14:textId="65B43825" w:rsidR="004B3C2E" w:rsidRDefault="00952923" w:rsidP="007F061C">
            <w:pPr>
              <w:pStyle w:val="TableBullet"/>
            </w:pPr>
            <w:r>
              <w:lastRenderedPageBreak/>
              <w:t>n</w:t>
            </w:r>
            <w:r w:rsidR="004B3C2E">
              <w:t>ational significance of outbreak</w:t>
            </w:r>
          </w:p>
          <w:p w14:paraId="2098003D" w14:textId="4DDAD9D1" w:rsidR="004B3C2E" w:rsidRDefault="00952923" w:rsidP="007F061C">
            <w:pPr>
              <w:pStyle w:val="TableBullet"/>
            </w:pPr>
            <w:r>
              <w:t>t</w:t>
            </w:r>
            <w:r w:rsidR="004B3C2E">
              <w:t>echnical feasibility of eradication</w:t>
            </w:r>
          </w:p>
          <w:p w14:paraId="024DE8B9" w14:textId="5FE3178B" w:rsidR="004B3C2E" w:rsidRDefault="00952923" w:rsidP="007F061C">
            <w:pPr>
              <w:pStyle w:val="TableBullet"/>
            </w:pPr>
            <w:r>
              <w:t>s</w:t>
            </w:r>
            <w:r w:rsidR="004B3C2E">
              <w:t>trategic risk assessment</w:t>
            </w:r>
          </w:p>
          <w:p w14:paraId="01E5BC68" w14:textId="107A9987" w:rsidR="004B3C2E" w:rsidRDefault="00952923" w:rsidP="007F061C">
            <w:pPr>
              <w:pStyle w:val="TableBullet"/>
            </w:pPr>
            <w:r>
              <w:t>r</w:t>
            </w:r>
            <w:r w:rsidR="004B3C2E">
              <w:t xml:space="preserve">esponse </w:t>
            </w:r>
            <w:r>
              <w:t>b</w:t>
            </w:r>
            <w:r w:rsidR="004B3C2E">
              <w:t>udget</w:t>
            </w:r>
          </w:p>
          <w:p w14:paraId="657981ED" w14:textId="77768AE3" w:rsidR="004B3C2E" w:rsidRDefault="00952923" w:rsidP="007F061C">
            <w:pPr>
              <w:pStyle w:val="TableBullet"/>
            </w:pPr>
            <w:r>
              <w:t>cost–b</w:t>
            </w:r>
            <w:r w:rsidR="004B3C2E">
              <w:t>enefit analysis</w:t>
            </w:r>
          </w:p>
          <w:p w14:paraId="017A4F04" w14:textId="31E3AE94" w:rsidR="004B3C2E" w:rsidRDefault="004B3C2E" w:rsidP="007F061C">
            <w:pPr>
              <w:pStyle w:val="TableBullet"/>
            </w:pPr>
            <w:r w:rsidRPr="00403DB6">
              <w:t xml:space="preserve">National Biosecurity </w:t>
            </w:r>
            <w:r>
              <w:t xml:space="preserve">Incident </w:t>
            </w:r>
            <w:r w:rsidRPr="00403DB6">
              <w:t>Response Plan</w:t>
            </w:r>
            <w:r w:rsidR="00952923">
              <w:t>,</w:t>
            </w:r>
            <w:r w:rsidRPr="00403DB6">
              <w:t xml:space="preserve"> including strateg</w:t>
            </w:r>
            <w:r w:rsidR="00952923">
              <w:t>ies</w:t>
            </w:r>
            <w:r w:rsidRPr="00403DB6">
              <w:t xml:space="preserve"> and tactics</w:t>
            </w:r>
            <w:r w:rsidR="00952923">
              <w:t>,</w:t>
            </w:r>
            <w:r w:rsidRPr="00403DB6">
              <w:t xml:space="preserve"> with supporting plans such as </w:t>
            </w:r>
            <w:bookmarkStart w:id="67" w:name="_Hlk527624339"/>
            <w:r w:rsidRPr="00403DB6">
              <w:t>Resource Plan</w:t>
            </w:r>
            <w:bookmarkEnd w:id="67"/>
            <w:r w:rsidR="00200862">
              <w:t>;</w:t>
            </w:r>
            <w:r w:rsidRPr="00403DB6">
              <w:t xml:space="preserve"> </w:t>
            </w:r>
            <w:bookmarkStart w:id="68" w:name="_Hlk527624350"/>
            <w:r w:rsidRPr="00403DB6">
              <w:t>Communications</w:t>
            </w:r>
            <w:r w:rsidR="00200862">
              <w:t>,</w:t>
            </w:r>
            <w:r w:rsidRPr="00403DB6">
              <w:t xml:space="preserve"> Community Engagement </w:t>
            </w:r>
            <w:r w:rsidR="00200862">
              <w:t xml:space="preserve">and Media </w:t>
            </w:r>
            <w:r w:rsidRPr="00403DB6">
              <w:t>Plan</w:t>
            </w:r>
            <w:bookmarkEnd w:id="68"/>
            <w:r w:rsidR="00200862">
              <w:t>;</w:t>
            </w:r>
            <w:r w:rsidRPr="00403DB6">
              <w:t xml:space="preserve"> </w:t>
            </w:r>
            <w:bookmarkStart w:id="69" w:name="_Hlk527624359"/>
            <w:r w:rsidRPr="00403DB6">
              <w:t>Surveillance Plan</w:t>
            </w:r>
            <w:bookmarkEnd w:id="69"/>
          </w:p>
          <w:p w14:paraId="50CD5B30" w14:textId="6B39E7B2" w:rsidR="004B3C2E" w:rsidRPr="00333264" w:rsidRDefault="003A5469" w:rsidP="003A5469">
            <w:pPr>
              <w:pStyle w:val="TableText0"/>
            </w:pPr>
            <w:r>
              <w:t>See Sections 6.3 and 10; and Appendixes 1, 3</w:t>
            </w:r>
            <w:r w:rsidR="000266D1">
              <w:t>, 4 and 5</w:t>
            </w:r>
          </w:p>
        </w:tc>
        <w:tc>
          <w:tcPr>
            <w:tcW w:w="2551" w:type="dxa"/>
            <w:shd w:val="clear" w:color="auto" w:fill="auto"/>
          </w:tcPr>
          <w:p w14:paraId="713021FE" w14:textId="7094167C" w:rsidR="004B3C2E" w:rsidRPr="00FF74B4" w:rsidRDefault="00066E4C" w:rsidP="0019671F">
            <w:pPr>
              <w:pStyle w:val="TableText0"/>
              <w:keepNext w:val="0"/>
            </w:pPr>
            <w:r>
              <w:lastRenderedPageBreak/>
              <w:t>NBMCC or</w:t>
            </w:r>
            <w:r w:rsidR="004B3C2E">
              <w:t xml:space="preserve"> NBMG </w:t>
            </w:r>
            <w:r w:rsidR="00952923">
              <w:t xml:space="preserve">supports decision on </w:t>
            </w:r>
            <w:r w:rsidR="004B3C2E">
              <w:t xml:space="preserve">whether response is covered by NEBRA, or additional information </w:t>
            </w:r>
            <w:r w:rsidR="00952923">
              <w:t xml:space="preserve">is </w:t>
            </w:r>
            <w:r w:rsidR="004B3C2E">
              <w:t>required to make that decision</w:t>
            </w:r>
            <w:r w:rsidR="00952923">
              <w:t>,</w:t>
            </w:r>
            <w:r w:rsidR="004B3C2E">
              <w:t xml:space="preserve"> or response is not covered by NEBRA </w:t>
            </w:r>
            <w:r w:rsidR="00952923">
              <w:t>(</w:t>
            </w:r>
            <w:r w:rsidR="004B3C2E">
              <w:t>eg</w:t>
            </w:r>
            <w:r w:rsidR="00952923">
              <w:t xml:space="preserve"> EWD is </w:t>
            </w:r>
            <w:r w:rsidR="004B3C2E">
              <w:t>not eradicable</w:t>
            </w:r>
            <w:r w:rsidR="00952923">
              <w:t>)</w:t>
            </w:r>
          </w:p>
        </w:tc>
        <w:tc>
          <w:tcPr>
            <w:tcW w:w="1418" w:type="dxa"/>
            <w:shd w:val="clear" w:color="auto" w:fill="auto"/>
          </w:tcPr>
          <w:p w14:paraId="5E94FA25" w14:textId="77777777" w:rsidR="004B3C2E" w:rsidRPr="00AC373D" w:rsidRDefault="004B3C2E" w:rsidP="00AC373D">
            <w:pPr>
              <w:pStyle w:val="TableText0"/>
            </w:pPr>
            <w:r w:rsidRPr="00AC373D">
              <w:t>SCC and LCC(s)</w:t>
            </w:r>
          </w:p>
        </w:tc>
        <w:tc>
          <w:tcPr>
            <w:tcW w:w="1111" w:type="dxa"/>
            <w:shd w:val="clear" w:color="auto" w:fill="auto"/>
          </w:tcPr>
          <w:p w14:paraId="144D3470" w14:textId="77777777" w:rsidR="004B3C2E" w:rsidRPr="00FF74B4" w:rsidRDefault="004B3C2E" w:rsidP="0019671F">
            <w:pPr>
              <w:pStyle w:val="TableText0"/>
              <w:keepNext w:val="0"/>
            </w:pPr>
          </w:p>
        </w:tc>
      </w:tr>
      <w:tr w:rsidR="004B3C2E" w14:paraId="6412D577" w14:textId="77777777" w:rsidTr="003A5469">
        <w:tc>
          <w:tcPr>
            <w:tcW w:w="3936" w:type="dxa"/>
            <w:tcBorders>
              <w:bottom w:val="single" w:sz="4" w:space="0" w:color="auto"/>
            </w:tcBorders>
            <w:shd w:val="clear" w:color="auto" w:fill="auto"/>
          </w:tcPr>
          <w:p w14:paraId="10896490" w14:textId="5F335683" w:rsidR="004B3C2E" w:rsidRDefault="004B3C2E" w:rsidP="0019671F">
            <w:pPr>
              <w:pStyle w:val="TableText0"/>
              <w:keepNext w:val="0"/>
            </w:pPr>
            <w:r>
              <w:t>Regular (daily) sit</w:t>
            </w:r>
            <w:r w:rsidR="00952923">
              <w:t>uation report</w:t>
            </w:r>
            <w:r>
              <w:t>s</w:t>
            </w:r>
            <w:r w:rsidR="00952923">
              <w:t>,</w:t>
            </w:r>
            <w:r>
              <w:t xml:space="preserve"> and coordination (SCC) and control (LCC </w:t>
            </w:r>
            <w:r w:rsidR="00952923">
              <w:t>–</w:t>
            </w:r>
            <w:r>
              <w:t xml:space="preserve"> </w:t>
            </w:r>
            <w:r w:rsidR="00952923">
              <w:t>Incident Action Plan</w:t>
            </w:r>
            <w:r>
              <w:t>) plans for operations</w:t>
            </w:r>
          </w:p>
          <w:p w14:paraId="6A1492E6" w14:textId="48A18C2F" w:rsidR="004B3C2E" w:rsidRPr="00205729" w:rsidRDefault="003A5469" w:rsidP="003A5469">
            <w:pPr>
              <w:pStyle w:val="TableText0"/>
            </w:pPr>
            <w:r>
              <w:t xml:space="preserve">See Sections 6.4 and </w:t>
            </w:r>
            <w:r w:rsidR="000266D1">
              <w:t>7.2, and Appendixes 2 and 6</w:t>
            </w:r>
          </w:p>
        </w:tc>
        <w:tc>
          <w:tcPr>
            <w:tcW w:w="2551" w:type="dxa"/>
            <w:tcBorders>
              <w:bottom w:val="single" w:sz="4" w:space="0" w:color="auto"/>
            </w:tcBorders>
            <w:shd w:val="clear" w:color="auto" w:fill="auto"/>
          </w:tcPr>
          <w:p w14:paraId="32546BBB" w14:textId="788BCCE6" w:rsidR="004B3C2E" w:rsidRPr="00FF74B4" w:rsidRDefault="004B3C2E" w:rsidP="0019671F">
            <w:pPr>
              <w:pStyle w:val="TableText0"/>
              <w:keepNext w:val="0"/>
            </w:pPr>
            <w:r>
              <w:t xml:space="preserve">NEBRA parties and partners </w:t>
            </w:r>
            <w:r w:rsidR="00952923">
              <w:t xml:space="preserve">have high level of situational awareness </w:t>
            </w:r>
            <w:r>
              <w:t>to support decision making at all levels</w:t>
            </w:r>
          </w:p>
        </w:tc>
        <w:tc>
          <w:tcPr>
            <w:tcW w:w="1418" w:type="dxa"/>
            <w:tcBorders>
              <w:bottom w:val="single" w:sz="4" w:space="0" w:color="auto"/>
            </w:tcBorders>
            <w:shd w:val="clear" w:color="auto" w:fill="auto"/>
          </w:tcPr>
          <w:p w14:paraId="6BB5A72B" w14:textId="77777777" w:rsidR="004B3C2E" w:rsidRPr="00AC373D" w:rsidRDefault="004B3C2E" w:rsidP="00AC373D">
            <w:pPr>
              <w:pStyle w:val="TableText0"/>
            </w:pPr>
            <w:r w:rsidRPr="00AC373D">
              <w:t>SCC state or territory reports</w:t>
            </w:r>
          </w:p>
          <w:p w14:paraId="32DB0C57" w14:textId="77777777" w:rsidR="004B3C2E" w:rsidRPr="00AC373D" w:rsidRDefault="004B3C2E" w:rsidP="00AC373D">
            <w:pPr>
              <w:pStyle w:val="TableText0"/>
            </w:pPr>
            <w:r w:rsidRPr="00AC373D">
              <w:t>LCC region or local area reports</w:t>
            </w:r>
          </w:p>
        </w:tc>
        <w:tc>
          <w:tcPr>
            <w:tcW w:w="1111" w:type="dxa"/>
            <w:tcBorders>
              <w:bottom w:val="single" w:sz="4" w:space="0" w:color="auto"/>
            </w:tcBorders>
            <w:shd w:val="clear" w:color="auto" w:fill="auto"/>
          </w:tcPr>
          <w:p w14:paraId="187538DB" w14:textId="77777777" w:rsidR="004B3C2E" w:rsidRPr="00FF74B4" w:rsidRDefault="004B3C2E" w:rsidP="0019671F">
            <w:pPr>
              <w:pStyle w:val="TableText0"/>
              <w:keepNext w:val="0"/>
            </w:pPr>
          </w:p>
        </w:tc>
      </w:tr>
    </w:tbl>
    <w:p w14:paraId="45109831" w14:textId="6570ABA7" w:rsidR="008B0AD8" w:rsidRDefault="00E6019F" w:rsidP="00E6019F">
      <w:pPr>
        <w:pStyle w:val="TFAbbrevs"/>
      </w:pPr>
      <w:r>
        <w:t xml:space="preserve">ACVO = Australian Chief Veterinary Officer; </w:t>
      </w:r>
      <w:r w:rsidR="003A5469">
        <w:t>CVO = chief veterinary officer</w:t>
      </w:r>
      <w:r w:rsidR="00AC373D">
        <w:t xml:space="preserve">; </w:t>
      </w:r>
      <w:r>
        <w:t xml:space="preserve">EADRA </w:t>
      </w:r>
      <w:r w:rsidR="00952923">
        <w:t>=</w:t>
      </w:r>
      <w:r>
        <w:t xml:space="preserve"> Emergency Animal Disease Response Agreement; </w:t>
      </w:r>
      <w:r w:rsidR="00AC373D">
        <w:t xml:space="preserve">EWD = </w:t>
      </w:r>
      <w:r w:rsidR="00952923">
        <w:t>emergency wildlife disease</w:t>
      </w:r>
      <w:r w:rsidR="00AC373D">
        <w:t>;</w:t>
      </w:r>
      <w:r>
        <w:t xml:space="preserve"> LCC = Local Control Centre; NBMCC = </w:t>
      </w:r>
      <w:r w:rsidR="00952923" w:rsidRPr="004B3655">
        <w:t>National Biosecurity Management Consultative Committee</w:t>
      </w:r>
      <w:r>
        <w:t>;</w:t>
      </w:r>
      <w:r w:rsidR="00AC373D">
        <w:t xml:space="preserve"> </w:t>
      </w:r>
      <w:r>
        <w:t xml:space="preserve">NBMG = </w:t>
      </w:r>
      <w:r w:rsidR="00952923" w:rsidRPr="004B3655">
        <w:t>National Biosecurity Management Group</w:t>
      </w:r>
      <w:r>
        <w:t xml:space="preserve">; </w:t>
      </w:r>
      <w:r w:rsidR="00AC373D">
        <w:t xml:space="preserve">NEBRA = </w:t>
      </w:r>
      <w:r w:rsidR="00952923" w:rsidRPr="00EC0D05">
        <w:t>National Environmental Biosecurity Response Agreement</w:t>
      </w:r>
      <w:r>
        <w:t>; SCC = State Coordination Centre</w:t>
      </w:r>
    </w:p>
    <w:p w14:paraId="18F79F6B" w14:textId="24D3FD27" w:rsidR="00520CD5" w:rsidRDefault="00A66BEF" w:rsidP="00A80AEB">
      <w:pPr>
        <w:pStyle w:val="Heading2"/>
      </w:pPr>
      <w:bookmarkStart w:id="70" w:name="_Toc529783780"/>
      <w:r>
        <w:t>5</w:t>
      </w:r>
      <w:r w:rsidR="00A80AEB">
        <w:t>.2</w:t>
      </w:r>
      <w:r w:rsidR="00A80AEB">
        <w:tab/>
      </w:r>
      <w:r w:rsidR="00520CD5" w:rsidRPr="00B505D5">
        <w:t xml:space="preserve">Operations </w:t>
      </w:r>
      <w:r w:rsidR="00232921">
        <w:t>p</w:t>
      </w:r>
      <w:r w:rsidR="00520CD5" w:rsidRPr="00B505D5">
        <w:t>hase</w:t>
      </w:r>
      <w:bookmarkEnd w:id="70"/>
    </w:p>
    <w:p w14:paraId="6EAB82F1" w14:textId="31317120" w:rsidR="00520CD5" w:rsidRDefault="00520CD5" w:rsidP="00766FF7">
      <w:r w:rsidRPr="009C057C">
        <w:t>Th</w:t>
      </w:r>
      <w:r w:rsidR="00CF5F3B">
        <w:t>e operations</w:t>
      </w:r>
      <w:r w:rsidRPr="009C057C">
        <w:t xml:space="preserve"> phase commences with the approval of </w:t>
      </w:r>
      <w:r w:rsidR="0086792A" w:rsidRPr="009C057C">
        <w:t>an</w:t>
      </w:r>
      <w:r w:rsidRPr="009C057C">
        <w:t xml:space="preserve"> </w:t>
      </w:r>
      <w:r>
        <w:t>NRP</w:t>
      </w:r>
      <w:r w:rsidRPr="009C057C">
        <w:t xml:space="preserve"> by the NBMG on recommendation from the NBMCC. </w:t>
      </w:r>
      <w:r w:rsidR="00CF5F3B">
        <w:t xml:space="preserve">Before </w:t>
      </w:r>
      <w:r w:rsidR="00E024B1">
        <w:t>this p</w:t>
      </w:r>
      <w:r w:rsidR="00432D74">
        <w:t xml:space="preserve">hase </w:t>
      </w:r>
      <w:r w:rsidR="00CF5F3B">
        <w:t xml:space="preserve">is </w:t>
      </w:r>
      <w:r w:rsidR="00432D74">
        <w:t>fully activated, f</w:t>
      </w:r>
      <w:r w:rsidR="003610B2">
        <w:t>ield o</w:t>
      </w:r>
      <w:r w:rsidRPr="009C057C">
        <w:t xml:space="preserve">perations </w:t>
      </w:r>
      <w:r w:rsidR="003610B2">
        <w:t>will</w:t>
      </w:r>
      <w:r w:rsidRPr="009C057C">
        <w:t xml:space="preserve"> commence in anticipation of </w:t>
      </w:r>
      <w:r w:rsidR="00CF5F3B">
        <w:t xml:space="preserve">the </w:t>
      </w:r>
      <w:r w:rsidRPr="009C057C">
        <w:t xml:space="preserve">field activities </w:t>
      </w:r>
      <w:r w:rsidR="00CF5F3B">
        <w:t>that will occur once the NRP is approved,</w:t>
      </w:r>
      <w:r w:rsidR="003610B2">
        <w:t xml:space="preserve"> and to inform decisions such </w:t>
      </w:r>
      <w:r w:rsidR="00CF5F3B">
        <w:t xml:space="preserve">as </w:t>
      </w:r>
      <w:r w:rsidR="003610B2">
        <w:t>whether the EWD is eradicable</w:t>
      </w:r>
      <w:r w:rsidRPr="009C057C">
        <w:t>.</w:t>
      </w:r>
      <w:r w:rsidR="00B41D73">
        <w:t xml:space="preserve"> </w:t>
      </w:r>
    </w:p>
    <w:p w14:paraId="44CB44CC" w14:textId="5588D914" w:rsidR="00520CD5" w:rsidRDefault="00520CD5" w:rsidP="00766FF7">
      <w:r w:rsidRPr="00067884">
        <w:t xml:space="preserve">The complete range of systems and structures will be activated and deployed during this phase. </w:t>
      </w:r>
      <w:r w:rsidRPr="00FC6630">
        <w:t>Resourcing needs are likely to escalate quickly and place significant demands on the affected state</w:t>
      </w:r>
      <w:r w:rsidR="00FA217C" w:rsidRPr="00FC6630">
        <w:t xml:space="preserve"> or </w:t>
      </w:r>
      <w:r w:rsidRPr="00FC6630">
        <w:t>territory</w:t>
      </w:r>
      <w:r w:rsidRPr="00067884">
        <w:t xml:space="preserve">. </w:t>
      </w:r>
      <w:r w:rsidR="003610B2" w:rsidRPr="00067884">
        <w:t>Resourcing must be adequate to meet NRP performance indicators, milestones and</w:t>
      </w:r>
      <w:r w:rsidR="003610B2">
        <w:t xml:space="preserve"> budget.</w:t>
      </w:r>
    </w:p>
    <w:p w14:paraId="451B19A8" w14:textId="7A2B201A" w:rsidR="00520CD5" w:rsidRPr="009C057C" w:rsidRDefault="00520CD5" w:rsidP="00766FF7">
      <w:r>
        <w:t xml:space="preserve">The </w:t>
      </w:r>
      <w:r w:rsidR="00CF5F3B">
        <w:t xml:space="preserve">operations </w:t>
      </w:r>
      <w:r>
        <w:t>phase will cease when it is nationally agreed that either the EWD has been eradicated, it is no longer technically feasible to eradicate the EWD</w:t>
      </w:r>
      <w:r w:rsidR="00CF5F3B">
        <w:t>,</w:t>
      </w:r>
      <w:r>
        <w:t xml:space="preserve"> or review points or financial limits specified in the nationally agreed NRP are not met or are exceeded.</w:t>
      </w:r>
    </w:p>
    <w:p w14:paraId="3BB409D0" w14:textId="637B8D37" w:rsidR="00520CD5" w:rsidRDefault="00A66BEF" w:rsidP="00A80AEB">
      <w:pPr>
        <w:pStyle w:val="Heading2"/>
      </w:pPr>
      <w:bookmarkStart w:id="71" w:name="_Toc529783781"/>
      <w:r>
        <w:t>5</w:t>
      </w:r>
      <w:r w:rsidR="00A80AEB">
        <w:t>.3</w:t>
      </w:r>
      <w:r w:rsidR="00A80AEB">
        <w:tab/>
      </w:r>
      <w:r w:rsidR="00520CD5" w:rsidRPr="009C057C">
        <w:t>Stand</w:t>
      </w:r>
      <w:r w:rsidR="00691E13">
        <w:t>-</w:t>
      </w:r>
      <w:r w:rsidR="00520CD5" w:rsidRPr="009C057C">
        <w:t>down</w:t>
      </w:r>
      <w:bookmarkEnd w:id="71"/>
    </w:p>
    <w:p w14:paraId="04E94ADB" w14:textId="2B73D181" w:rsidR="00520CD5" w:rsidRPr="003610B2" w:rsidRDefault="00520CD5" w:rsidP="00766FF7">
      <w:r w:rsidRPr="003610B2">
        <w:t xml:space="preserve">The </w:t>
      </w:r>
      <w:r w:rsidR="00CF5F3B">
        <w:t>stand</w:t>
      </w:r>
      <w:r w:rsidR="000E5BCA">
        <w:t>-</w:t>
      </w:r>
      <w:r w:rsidR="00CF5F3B">
        <w:t xml:space="preserve">down </w:t>
      </w:r>
      <w:r w:rsidRPr="003610B2">
        <w:t xml:space="preserve">phase requires the systematic and structured closure </w:t>
      </w:r>
      <w:r w:rsidR="003610B2">
        <w:t xml:space="preserve">of </w:t>
      </w:r>
      <w:r w:rsidRPr="003610B2">
        <w:t xml:space="preserve">the </w:t>
      </w:r>
      <w:r w:rsidR="00CF5F3B">
        <w:t>Local Control Centre</w:t>
      </w:r>
      <w:r w:rsidR="000E5BCA">
        <w:t xml:space="preserve">(s) </w:t>
      </w:r>
      <w:r w:rsidRPr="003610B2">
        <w:t xml:space="preserve">and </w:t>
      </w:r>
      <w:r w:rsidR="000E5BCA">
        <w:t>State Coordination Centre</w:t>
      </w:r>
      <w:r w:rsidRPr="003610B2">
        <w:t>, and finalisation of all activities of each centre. Planning for the stand</w:t>
      </w:r>
      <w:r w:rsidR="00691E13">
        <w:t>-</w:t>
      </w:r>
      <w:r w:rsidRPr="003610B2">
        <w:t xml:space="preserve">down will ensure </w:t>
      </w:r>
      <w:r w:rsidR="000E5BCA">
        <w:t xml:space="preserve">that </w:t>
      </w:r>
      <w:r w:rsidRPr="003610B2">
        <w:t xml:space="preserve">there are no legacy matters for normal business to deal with </w:t>
      </w:r>
      <w:r w:rsidR="000E5BCA">
        <w:t xml:space="preserve">after </w:t>
      </w:r>
      <w:r w:rsidRPr="003610B2">
        <w:t>the response.</w:t>
      </w:r>
    </w:p>
    <w:p w14:paraId="04E96251" w14:textId="721DAEE2" w:rsidR="00520CD5" w:rsidRPr="003610B2" w:rsidRDefault="00520CD5" w:rsidP="00766FF7">
      <w:r w:rsidRPr="003610B2">
        <w:t>Significant activities will include finalis</w:t>
      </w:r>
      <w:r w:rsidR="000E5BCA">
        <w:t xml:space="preserve">ing </w:t>
      </w:r>
      <w:r w:rsidRPr="003610B2">
        <w:t>finances and relevant accounts in readiness for an external audit, stocktaking and dispos</w:t>
      </w:r>
      <w:r w:rsidR="000E5BCA">
        <w:t xml:space="preserve">ing </w:t>
      </w:r>
      <w:r w:rsidRPr="003610B2">
        <w:t>of unused stores and equipment, archiving records</w:t>
      </w:r>
      <w:r w:rsidR="000E5BCA">
        <w:t>,</w:t>
      </w:r>
      <w:r w:rsidRPr="003610B2">
        <w:t xml:space="preserve"> and </w:t>
      </w:r>
      <w:r w:rsidR="000E5BCA">
        <w:t xml:space="preserve">conducting </w:t>
      </w:r>
      <w:r w:rsidRPr="003610B2">
        <w:t>debriefs at different levels</w:t>
      </w:r>
      <w:r w:rsidR="006A4F42">
        <w:t xml:space="preserve"> and </w:t>
      </w:r>
      <w:r w:rsidR="00255BD5">
        <w:t xml:space="preserve">for </w:t>
      </w:r>
      <w:r w:rsidR="006A4F42">
        <w:t>stakeholders</w:t>
      </w:r>
      <w:r w:rsidRPr="003610B2">
        <w:t xml:space="preserve">. </w:t>
      </w:r>
    </w:p>
    <w:p w14:paraId="086D7E18" w14:textId="7938D4A9" w:rsidR="00520CD5" w:rsidRPr="00FC6630" w:rsidRDefault="00520CD5" w:rsidP="00766FF7">
      <w:r w:rsidRPr="00067884">
        <w:lastRenderedPageBreak/>
        <w:t>Stand</w:t>
      </w:r>
      <w:r w:rsidR="000E5BCA">
        <w:t>-</w:t>
      </w:r>
      <w:r w:rsidRPr="00067884">
        <w:t xml:space="preserve">down costs </w:t>
      </w:r>
      <w:r w:rsidR="006A4F42" w:rsidRPr="00067884">
        <w:t xml:space="preserve">are </w:t>
      </w:r>
      <w:r w:rsidRPr="00FC6630">
        <w:t xml:space="preserve">covered as part of the nationally endorsed budget for </w:t>
      </w:r>
      <w:r w:rsidR="0086792A" w:rsidRPr="00FC6630">
        <w:t>an</w:t>
      </w:r>
      <w:r w:rsidRPr="00FC6630">
        <w:t xml:space="preserve"> NRP. </w:t>
      </w:r>
      <w:r w:rsidR="006A4F42" w:rsidRPr="00FC6630">
        <w:t xml:space="preserve">These </w:t>
      </w:r>
      <w:r w:rsidR="00255BD5" w:rsidRPr="00FC6630">
        <w:t xml:space="preserve">potentially </w:t>
      </w:r>
      <w:r w:rsidR="006A4F42" w:rsidRPr="00FC6630">
        <w:t xml:space="preserve">significant costs are typically not recognised until </w:t>
      </w:r>
      <w:r w:rsidR="00C57BD3" w:rsidRPr="00FC6630">
        <w:t>the</w:t>
      </w:r>
      <w:r w:rsidR="006A4F42" w:rsidRPr="00FC6630">
        <w:t xml:space="preserve"> stand</w:t>
      </w:r>
      <w:r w:rsidR="00691E13">
        <w:t>-</w:t>
      </w:r>
      <w:r w:rsidR="006A4F42" w:rsidRPr="00FC6630">
        <w:t xml:space="preserve">down is </w:t>
      </w:r>
      <w:r w:rsidR="000E5BCA">
        <w:t>im</w:t>
      </w:r>
      <w:r w:rsidR="006A4F42" w:rsidRPr="00FC6630">
        <w:t xml:space="preserve">minent. </w:t>
      </w:r>
      <w:r w:rsidR="000E5BCA">
        <w:t>They</w:t>
      </w:r>
      <w:r w:rsidR="006A4F42" w:rsidRPr="00FC6630">
        <w:t xml:space="preserve"> should be </w:t>
      </w:r>
      <w:r w:rsidR="009330E1" w:rsidRPr="00FC6630">
        <w:t xml:space="preserve">included </w:t>
      </w:r>
      <w:r w:rsidR="006A4F42" w:rsidRPr="00FC6630">
        <w:t>in the initial budget.</w:t>
      </w:r>
    </w:p>
    <w:p w14:paraId="6B8B08D3" w14:textId="20288D2C" w:rsidR="00520CD5" w:rsidRPr="003610B2" w:rsidRDefault="00520CD5" w:rsidP="00766FF7">
      <w:r w:rsidRPr="003610B2">
        <w:t>An important stand</w:t>
      </w:r>
      <w:r w:rsidR="000E5BCA">
        <w:t>-</w:t>
      </w:r>
      <w:r w:rsidRPr="003610B2">
        <w:t xml:space="preserve">down </w:t>
      </w:r>
      <w:r w:rsidR="006A4F42">
        <w:t xml:space="preserve">activity </w:t>
      </w:r>
      <w:r w:rsidRPr="003610B2">
        <w:t>is t</w:t>
      </w:r>
      <w:r w:rsidR="006A4F42">
        <w:t>he</w:t>
      </w:r>
      <w:r w:rsidRPr="003610B2">
        <w:t xml:space="preserve"> transition </w:t>
      </w:r>
      <w:r w:rsidR="00255BD5">
        <w:t xml:space="preserve">of </w:t>
      </w:r>
      <w:r w:rsidRPr="003610B2">
        <w:t xml:space="preserve">any residual response activities to normal business arrangements. This may include ongoing </w:t>
      </w:r>
      <w:r w:rsidR="006A4F42">
        <w:t xml:space="preserve">sampling and </w:t>
      </w:r>
      <w:r w:rsidRPr="003610B2">
        <w:t>surveillance over a specified period that will be undertaken as part of normal business</w:t>
      </w:r>
      <w:r w:rsidR="00255BD5">
        <w:t xml:space="preserve">. </w:t>
      </w:r>
      <w:r w:rsidR="009063ED">
        <w:t>Therefore,</w:t>
      </w:r>
      <w:r w:rsidR="00255BD5">
        <w:t xml:space="preserve"> </w:t>
      </w:r>
      <w:r w:rsidR="000E5BCA">
        <w:t xml:space="preserve">this </w:t>
      </w:r>
      <w:r w:rsidR="009063ED">
        <w:t>is a</w:t>
      </w:r>
      <w:r w:rsidR="00255BD5">
        <w:t xml:space="preserve"> normal commitment that is </w:t>
      </w:r>
      <w:r w:rsidR="006A4F42">
        <w:t>not fully cost shareable</w:t>
      </w:r>
      <w:r w:rsidRPr="003610B2">
        <w:t xml:space="preserve">. </w:t>
      </w:r>
    </w:p>
    <w:p w14:paraId="4FDE8A00" w14:textId="5CEA80EC" w:rsidR="00520CD5" w:rsidRDefault="00A66BEF" w:rsidP="00A80AEB">
      <w:pPr>
        <w:pStyle w:val="Heading2"/>
      </w:pPr>
      <w:bookmarkStart w:id="72" w:name="_Toc529783782"/>
      <w:bookmarkStart w:id="73" w:name="_Hlk502934427"/>
      <w:r>
        <w:t>5</w:t>
      </w:r>
      <w:r w:rsidR="00A80AEB">
        <w:t>.4</w:t>
      </w:r>
      <w:r w:rsidR="00A80AEB">
        <w:tab/>
      </w:r>
      <w:r w:rsidR="00520CD5">
        <w:t>Post</w:t>
      </w:r>
      <w:r w:rsidR="000E5BCA">
        <w:t>-</w:t>
      </w:r>
      <w:r w:rsidR="00232921">
        <w:t>r</w:t>
      </w:r>
      <w:r w:rsidR="00520CD5">
        <w:t xml:space="preserve">esponse </w:t>
      </w:r>
      <w:r w:rsidR="00232921">
        <w:t>m</w:t>
      </w:r>
      <w:r w:rsidR="00520CD5">
        <w:t>anagement</w:t>
      </w:r>
      <w:bookmarkEnd w:id="72"/>
    </w:p>
    <w:bookmarkEnd w:id="73"/>
    <w:p w14:paraId="27610BE0" w14:textId="2ADFD6D7" w:rsidR="00520CD5" w:rsidRDefault="00520CD5" w:rsidP="00766FF7">
      <w:r w:rsidRPr="00F631C2">
        <w:t>Post</w:t>
      </w:r>
      <w:r w:rsidR="000E5BCA">
        <w:t>-</w:t>
      </w:r>
      <w:r w:rsidRPr="00F631C2">
        <w:t xml:space="preserve">response activities may be necessary to manage the consequences of the EWD being </w:t>
      </w:r>
      <w:r w:rsidR="000E5BCA">
        <w:t xml:space="preserve">either </w:t>
      </w:r>
      <w:r w:rsidRPr="00F631C2">
        <w:t>eradicate</w:t>
      </w:r>
      <w:r w:rsidR="00E024B1">
        <w:t>d</w:t>
      </w:r>
      <w:r w:rsidRPr="00F631C2">
        <w:t xml:space="preserve"> or not eradicated. The activities will reflect the many facets of the </w:t>
      </w:r>
      <w:r w:rsidR="000E5BCA">
        <w:t xml:space="preserve">EWD </w:t>
      </w:r>
      <w:r w:rsidRPr="00F631C2">
        <w:t xml:space="preserve">context. For instance, the likely establishment of a new EWD may necessitate various research projects to understand and cope with the EWD. </w:t>
      </w:r>
    </w:p>
    <w:p w14:paraId="49F554A8" w14:textId="41560BD0" w:rsidR="006A4F42" w:rsidRPr="00F631C2" w:rsidRDefault="006A4F42" w:rsidP="00766FF7">
      <w:r>
        <w:t>The affected state</w:t>
      </w:r>
      <w:r w:rsidR="00FA217C">
        <w:t xml:space="preserve"> or </w:t>
      </w:r>
      <w:r>
        <w:t xml:space="preserve">territory will take the lead in </w:t>
      </w:r>
      <w:r w:rsidR="000E5BCA">
        <w:t>a transition-to-management (</w:t>
      </w:r>
      <w:r>
        <w:t>T2M</w:t>
      </w:r>
      <w:r w:rsidR="000E5BCA">
        <w:t>)</w:t>
      </w:r>
      <w:r>
        <w:t xml:space="preserve"> phase. The lead agency for the response may not be the T2M lead agency. </w:t>
      </w:r>
      <w:r w:rsidR="0052313C">
        <w:t>Typically,</w:t>
      </w:r>
      <w:r>
        <w:t xml:space="preserve"> T2M committees </w:t>
      </w:r>
      <w:r w:rsidR="000E5BCA">
        <w:t xml:space="preserve">are </w:t>
      </w:r>
      <w:r>
        <w:t>established at national and state</w:t>
      </w:r>
      <w:r w:rsidR="00FA217C">
        <w:t xml:space="preserve"> or </w:t>
      </w:r>
      <w:r>
        <w:t>territory levels</w:t>
      </w:r>
      <w:r w:rsidR="000E5BCA">
        <w:t>,</w:t>
      </w:r>
      <w:r>
        <w:t xml:space="preserve"> with the former having a shorter life than the lat</w:t>
      </w:r>
      <w:r w:rsidR="000E5BCA">
        <w:t>t</w:t>
      </w:r>
      <w:r>
        <w:t xml:space="preserve">er. T2M committees are an opportunity to involve partners that will be affected by the consequences of </w:t>
      </w:r>
      <w:r w:rsidR="000E5BCA">
        <w:t xml:space="preserve">the </w:t>
      </w:r>
      <w:r>
        <w:t>EWD in</w:t>
      </w:r>
      <w:r w:rsidR="000E5BCA">
        <w:t xml:space="preserve"> the</w:t>
      </w:r>
      <w:r>
        <w:t xml:space="preserve"> future.</w:t>
      </w:r>
    </w:p>
    <w:p w14:paraId="781B2324" w14:textId="0CB35C01" w:rsidR="00CA1A10" w:rsidRPr="00F631C2" w:rsidRDefault="00520CD5" w:rsidP="00766FF7">
      <w:r w:rsidRPr="00FC6630">
        <w:rPr>
          <w:bCs/>
        </w:rPr>
        <w:t>Funding for post</w:t>
      </w:r>
      <w:r w:rsidR="000E5BCA">
        <w:rPr>
          <w:bCs/>
        </w:rPr>
        <w:t>-</w:t>
      </w:r>
      <w:r w:rsidRPr="00FC6630">
        <w:rPr>
          <w:bCs/>
        </w:rPr>
        <w:t>response management activities is not covered by the NEBRA. Alternative sources</w:t>
      </w:r>
      <w:r w:rsidRPr="00F631C2">
        <w:t xml:space="preserve"> of funding will need to be considered</w:t>
      </w:r>
      <w:r>
        <w:t xml:space="preserve"> by stakeholder groups</w:t>
      </w:r>
      <w:r w:rsidR="000E5BCA">
        <w:t>,</w:t>
      </w:r>
      <w:r>
        <w:t xml:space="preserve"> including research funding bodies, private benefactors, state</w:t>
      </w:r>
      <w:r w:rsidR="00FA217C">
        <w:t xml:space="preserve"> and </w:t>
      </w:r>
      <w:r>
        <w:t>territory governments</w:t>
      </w:r>
      <w:r w:rsidR="000E5BCA">
        <w:t>,</w:t>
      </w:r>
      <w:r>
        <w:t xml:space="preserve"> and the Australian Government.</w:t>
      </w:r>
    </w:p>
    <w:p w14:paraId="222D8849" w14:textId="5AB5EB53" w:rsidR="00520CD5" w:rsidRDefault="00A66BEF" w:rsidP="00A80AEB">
      <w:pPr>
        <w:pStyle w:val="Heading2"/>
      </w:pPr>
      <w:bookmarkStart w:id="74" w:name="_Toc529783783"/>
      <w:r>
        <w:t>5</w:t>
      </w:r>
      <w:r w:rsidR="00A80AEB">
        <w:t>.5</w:t>
      </w:r>
      <w:r w:rsidR="00A80AEB">
        <w:tab/>
      </w:r>
      <w:r w:rsidR="00520CD5" w:rsidRPr="00797BD7">
        <w:t>Recovery</w:t>
      </w:r>
      <w:bookmarkEnd w:id="74"/>
    </w:p>
    <w:p w14:paraId="47D22A31" w14:textId="5FA790F2" w:rsidR="00520CD5" w:rsidRPr="00F631C2" w:rsidRDefault="00520CD5" w:rsidP="00766FF7">
      <w:r w:rsidRPr="00F631C2">
        <w:t>Recovery is the responsibility of the affected state</w:t>
      </w:r>
      <w:r w:rsidR="009330E1">
        <w:t xml:space="preserve"> or </w:t>
      </w:r>
      <w:r w:rsidRPr="00F631C2">
        <w:t xml:space="preserve">territory. </w:t>
      </w:r>
      <w:r w:rsidR="00550533">
        <w:t>S</w:t>
      </w:r>
      <w:r w:rsidRPr="00F631C2">
        <w:t>tate</w:t>
      </w:r>
      <w:r w:rsidR="00FD3A21">
        <w:t>s</w:t>
      </w:r>
      <w:r w:rsidR="00FA217C">
        <w:t xml:space="preserve"> and </w:t>
      </w:r>
      <w:r w:rsidRPr="00F631C2">
        <w:t>territor</w:t>
      </w:r>
      <w:r w:rsidR="00550533">
        <w:t>ies</w:t>
      </w:r>
      <w:r w:rsidRPr="00F631C2">
        <w:t xml:space="preserve"> ha</w:t>
      </w:r>
      <w:r w:rsidR="00550533">
        <w:t>ve</w:t>
      </w:r>
      <w:r w:rsidRPr="00F631C2">
        <w:t xml:space="preserve"> arrangements that may apply for recovery activities of an EWD. </w:t>
      </w:r>
      <w:r w:rsidR="00ED16A6">
        <w:t>E</w:t>
      </w:r>
      <w:r w:rsidR="00F15443">
        <w:t>mergency management plans and supporting subplans will be the starting point for recovery planning.</w:t>
      </w:r>
    </w:p>
    <w:p w14:paraId="71E92E8A" w14:textId="0AEC6037" w:rsidR="00F15443" w:rsidRDefault="00520CD5" w:rsidP="00766FF7">
      <w:r w:rsidRPr="00F631C2">
        <w:t>Recovery applies to the natural, economic, built and social</w:t>
      </w:r>
      <w:r w:rsidR="00255BD5">
        <w:t xml:space="preserve"> environments</w:t>
      </w:r>
      <w:r w:rsidRPr="00F631C2">
        <w:t xml:space="preserve">. </w:t>
      </w:r>
      <w:r>
        <w:t xml:space="preserve">Recovery plans usually target specific environments after </w:t>
      </w:r>
      <w:r w:rsidR="00ED16A6">
        <w:t xml:space="preserve">consultation </w:t>
      </w:r>
      <w:r>
        <w:t xml:space="preserve">with affected communities and </w:t>
      </w:r>
      <w:r w:rsidR="00255BD5">
        <w:t>partner</w:t>
      </w:r>
      <w:r>
        <w:t xml:space="preserve"> groups.</w:t>
      </w:r>
      <w:r w:rsidR="0092029A">
        <w:t xml:space="preserve"> </w:t>
      </w:r>
      <w:r w:rsidR="00F15443">
        <w:t xml:space="preserve">Where recovery </w:t>
      </w:r>
      <w:r w:rsidR="00CF150B">
        <w:t xml:space="preserve">plan </w:t>
      </w:r>
      <w:r w:rsidR="00F15443">
        <w:t>activities are likely</w:t>
      </w:r>
      <w:r w:rsidR="00FA217C">
        <w:t>,</w:t>
      </w:r>
      <w:r w:rsidR="00F15443">
        <w:t xml:space="preserve"> recovery committees are likely to</w:t>
      </w:r>
      <w:r w:rsidR="00255BD5">
        <w:t xml:space="preserve"> be at the</w:t>
      </w:r>
      <w:r w:rsidR="00F15443">
        <w:t xml:space="preserve"> local</w:t>
      </w:r>
      <w:r w:rsidR="00FA217C">
        <w:t xml:space="preserve"> or </w:t>
      </w:r>
      <w:r w:rsidR="00F15443">
        <w:t>regional level</w:t>
      </w:r>
      <w:r w:rsidR="00F049C0">
        <w:t>,</w:t>
      </w:r>
      <w:r w:rsidR="003F63BF">
        <w:t xml:space="preserve"> and chaired by the </w:t>
      </w:r>
      <w:r w:rsidR="00F15443">
        <w:t>designated recovery lead agency level a</w:t>
      </w:r>
      <w:r w:rsidR="003F63BF">
        <w:t xml:space="preserve">t </w:t>
      </w:r>
      <w:r w:rsidR="00F15443">
        <w:t>state</w:t>
      </w:r>
      <w:r w:rsidR="00FA217C">
        <w:t xml:space="preserve"> or </w:t>
      </w:r>
      <w:r w:rsidR="00F15443">
        <w:t xml:space="preserve">territory level. </w:t>
      </w:r>
    </w:p>
    <w:p w14:paraId="2D0B47E1" w14:textId="3B99516F" w:rsidR="00371CD0" w:rsidRDefault="00F15443" w:rsidP="00766FF7">
      <w:r>
        <w:t>A national</w:t>
      </w:r>
      <w:r w:rsidR="00ED16A6">
        <w:t>-</w:t>
      </w:r>
      <w:r>
        <w:t xml:space="preserve">level </w:t>
      </w:r>
      <w:r w:rsidR="003F63BF">
        <w:t xml:space="preserve">recovery </w:t>
      </w:r>
      <w:r>
        <w:t>committee</w:t>
      </w:r>
      <w:r w:rsidR="00ED16A6">
        <w:t>,</w:t>
      </w:r>
      <w:r>
        <w:t xml:space="preserve"> as shown i</w:t>
      </w:r>
      <w:r w:rsidRPr="00F049C0">
        <w:t xml:space="preserve">n Figure </w:t>
      </w:r>
      <w:r w:rsidR="00ED16A6" w:rsidRPr="00F049C0">
        <w:t>3.</w:t>
      </w:r>
      <w:r w:rsidRPr="00F049C0">
        <w:t>2</w:t>
      </w:r>
      <w:r w:rsidR="00ED16A6" w:rsidRPr="00F049C0">
        <w:t>,</w:t>
      </w:r>
      <w:r w:rsidRPr="00F049C0">
        <w:t xml:space="preserve"> is</w:t>
      </w:r>
      <w:r>
        <w:t xml:space="preserve"> only likely to be present </w:t>
      </w:r>
      <w:r w:rsidR="00ED16A6">
        <w:t xml:space="preserve">if </w:t>
      </w:r>
      <w:r>
        <w:t>the impacts of the EWD on the four recovery environments are nationally significant. The national</w:t>
      </w:r>
      <w:r w:rsidR="00ED16A6">
        <w:t>-</w:t>
      </w:r>
      <w:r>
        <w:t>level</w:t>
      </w:r>
      <w:r w:rsidR="00ED16A6">
        <w:t xml:space="preserve">, whole-of-government </w:t>
      </w:r>
      <w:r w:rsidR="00CF150B">
        <w:t>recovery arrangements</w:t>
      </w:r>
      <w:r>
        <w:t xml:space="preserve"> are </w:t>
      </w:r>
      <w:r w:rsidR="00CF150B">
        <w:t xml:space="preserve">primarily </w:t>
      </w:r>
      <w:r>
        <w:t xml:space="preserve">present in anticipation of the widespread and national catastrophic effects of a major EAD outbreak across Australia. The same scale of impacts </w:t>
      </w:r>
      <w:r w:rsidR="001E58E4">
        <w:t>is</w:t>
      </w:r>
      <w:r>
        <w:t xml:space="preserve"> less likely for an EWD.</w:t>
      </w:r>
    </w:p>
    <w:p w14:paraId="047F1E76" w14:textId="4AAE8DDD" w:rsidR="00532182" w:rsidRPr="00532182" w:rsidRDefault="00A80AEB" w:rsidP="00A80AEB">
      <w:pPr>
        <w:pStyle w:val="Heading1"/>
      </w:pPr>
      <w:bookmarkStart w:id="75" w:name="_Toc529783784"/>
      <w:bookmarkStart w:id="76" w:name="_Hlk508710376"/>
      <w:r>
        <w:lastRenderedPageBreak/>
        <w:t>6</w:t>
      </w:r>
      <w:r>
        <w:tab/>
      </w:r>
      <w:r w:rsidR="002F27F3">
        <w:t>EW</w:t>
      </w:r>
      <w:r w:rsidR="0057304E">
        <w:t>D</w:t>
      </w:r>
      <w:r w:rsidR="002F27F3">
        <w:t xml:space="preserve"> </w:t>
      </w:r>
      <w:r w:rsidR="00232921">
        <w:t>r</w:t>
      </w:r>
      <w:r w:rsidR="002F27F3">
        <w:t xml:space="preserve">esponse </w:t>
      </w:r>
      <w:r w:rsidR="00232921">
        <w:t>p</w:t>
      </w:r>
      <w:r w:rsidR="002F27F3">
        <w:t>lanning</w:t>
      </w:r>
      <w:bookmarkEnd w:id="75"/>
      <w:r w:rsidR="00BC4BAB">
        <w:t xml:space="preserve"> </w:t>
      </w:r>
    </w:p>
    <w:p w14:paraId="11A340AE" w14:textId="5D1739DF" w:rsidR="00232BE0" w:rsidRDefault="001024D9" w:rsidP="00232BE0">
      <w:pPr>
        <w:pStyle w:val="Heading2"/>
      </w:pPr>
      <w:bookmarkStart w:id="77" w:name="_Toc529783785"/>
      <w:bookmarkEnd w:id="76"/>
      <w:r>
        <w:t>6.1</w:t>
      </w:r>
      <w:r>
        <w:tab/>
      </w:r>
      <w:r w:rsidR="00232BE0">
        <w:t>General policy</w:t>
      </w:r>
      <w:bookmarkEnd w:id="77"/>
    </w:p>
    <w:p w14:paraId="3EF519DE" w14:textId="3BED937C" w:rsidR="00232BE0" w:rsidRDefault="00ED16A6" w:rsidP="00232BE0">
      <w:pPr>
        <w:pStyle w:val="NormalBeforeBullet"/>
      </w:pPr>
      <w:r>
        <w:t>E</w:t>
      </w:r>
      <w:r w:rsidR="00232BE0">
        <w:t xml:space="preserve">mergency </w:t>
      </w:r>
      <w:r w:rsidR="00232BE0" w:rsidRPr="00EE462D">
        <w:t>management of emerging diseases in production animals such as cattle</w:t>
      </w:r>
      <w:r w:rsidR="00232BE0">
        <w:t xml:space="preserve">, </w:t>
      </w:r>
      <w:r w:rsidR="00232BE0" w:rsidRPr="00EE462D">
        <w:t>sheep</w:t>
      </w:r>
      <w:r w:rsidR="00232BE0">
        <w:t>, pigs and poultry</w:t>
      </w:r>
      <w:r w:rsidR="00232BE0" w:rsidRPr="00EE462D">
        <w:t xml:space="preserve"> has </w:t>
      </w:r>
      <w:r w:rsidR="00232BE0">
        <w:t xml:space="preserve">often </w:t>
      </w:r>
      <w:r w:rsidR="003946B5">
        <w:t xml:space="preserve">involved </w:t>
      </w:r>
      <w:r w:rsidR="00232BE0" w:rsidRPr="00EE462D">
        <w:t>control</w:t>
      </w:r>
      <w:r w:rsidR="003946B5">
        <w:t>ling</w:t>
      </w:r>
      <w:r w:rsidR="00232BE0" w:rsidRPr="00EE462D">
        <w:t xml:space="preserve"> and eradicat</w:t>
      </w:r>
      <w:r w:rsidR="003946B5">
        <w:t>ing</w:t>
      </w:r>
      <w:r w:rsidR="00232BE0" w:rsidRPr="00EE462D">
        <w:t xml:space="preserve"> the disease by stamping out. Tactics to achieve eradication </w:t>
      </w:r>
      <w:r w:rsidR="00232BE0">
        <w:t xml:space="preserve">are likely to </w:t>
      </w:r>
      <w:r w:rsidR="00232BE0" w:rsidRPr="00EE462D">
        <w:t>include</w:t>
      </w:r>
      <w:r w:rsidR="00232BE0">
        <w:t>:</w:t>
      </w:r>
    </w:p>
    <w:p w14:paraId="5BEE3E80" w14:textId="788F51FF" w:rsidR="00232BE0" w:rsidRPr="00EE462D" w:rsidRDefault="00F55855" w:rsidP="00232BE0">
      <w:pPr>
        <w:pStyle w:val="Bullet"/>
      </w:pPr>
      <w:r>
        <w:t>q</w:t>
      </w:r>
      <w:r w:rsidR="00232BE0" w:rsidRPr="00EE462D">
        <w:t>uarantine and/or movement controls</w:t>
      </w:r>
    </w:p>
    <w:p w14:paraId="5DE0A112" w14:textId="2D49AF28" w:rsidR="00232BE0" w:rsidRPr="00EE462D" w:rsidRDefault="00F55855" w:rsidP="00232BE0">
      <w:pPr>
        <w:pStyle w:val="Bullet"/>
      </w:pPr>
      <w:r>
        <w:t>d</w:t>
      </w:r>
      <w:r w:rsidR="00232BE0" w:rsidRPr="00EE462D">
        <w:t>estruction and disposal of infected and at-risk animals</w:t>
      </w:r>
    </w:p>
    <w:p w14:paraId="0D9010F3" w14:textId="7ED14D65" w:rsidR="00232BE0" w:rsidRPr="00EE462D" w:rsidRDefault="00F55855" w:rsidP="00232BE0">
      <w:pPr>
        <w:pStyle w:val="Bullet"/>
      </w:pPr>
      <w:r>
        <w:t>d</w:t>
      </w:r>
      <w:r w:rsidR="00232BE0" w:rsidRPr="00EE462D">
        <w:t>econtamination of infected</w:t>
      </w:r>
      <w:r w:rsidR="00232BE0">
        <w:t xml:space="preserve"> </w:t>
      </w:r>
      <w:r w:rsidR="00232BE0" w:rsidRPr="00EE462D">
        <w:t>premises</w:t>
      </w:r>
    </w:p>
    <w:p w14:paraId="6AE6F2D9" w14:textId="3E9320EA" w:rsidR="00232BE0" w:rsidRPr="00EE462D" w:rsidRDefault="00F55855" w:rsidP="00232BE0">
      <w:pPr>
        <w:pStyle w:val="Bullet"/>
      </w:pPr>
      <w:r>
        <w:t>s</w:t>
      </w:r>
      <w:r w:rsidR="00232BE0" w:rsidRPr="00EE462D">
        <w:t>urveillance support</w:t>
      </w:r>
      <w:r w:rsidR="00232BE0">
        <w:t>ed</w:t>
      </w:r>
      <w:r w:rsidR="00232BE0" w:rsidRPr="00EE462D">
        <w:t xml:space="preserve"> by tracing for susceptible animals</w:t>
      </w:r>
      <w:r w:rsidR="00232BE0">
        <w:t>, people and fomites</w:t>
      </w:r>
    </w:p>
    <w:p w14:paraId="38FF4DFE" w14:textId="383BFB17" w:rsidR="00232BE0" w:rsidRPr="00EE462D" w:rsidRDefault="00F55855" w:rsidP="00232BE0">
      <w:pPr>
        <w:pStyle w:val="Bullet"/>
      </w:pPr>
      <w:r>
        <w:t>r</w:t>
      </w:r>
      <w:r w:rsidR="00232BE0" w:rsidRPr="00EE462D">
        <w:t>estriction of the activities of enterprises that represent a risk to eradication</w:t>
      </w:r>
      <w:r>
        <w:t xml:space="preserve"> of the disease</w:t>
      </w:r>
    </w:p>
    <w:p w14:paraId="355FD720" w14:textId="107835C9" w:rsidR="00232BE0" w:rsidRPr="00EE462D" w:rsidRDefault="00F55855" w:rsidP="00232BE0">
      <w:pPr>
        <w:pStyle w:val="Bullet"/>
      </w:pPr>
      <w:r>
        <w:t>v</w:t>
      </w:r>
      <w:r w:rsidR="00232BE0" w:rsidRPr="00EE462D">
        <w:t>accination</w:t>
      </w:r>
    </w:p>
    <w:p w14:paraId="38CCB5E6" w14:textId="6EB4257A" w:rsidR="00232BE0" w:rsidRPr="00EE462D" w:rsidRDefault="00F55855" w:rsidP="00230CCC">
      <w:pPr>
        <w:pStyle w:val="BulletLast"/>
      </w:pPr>
      <w:r>
        <w:t>c</w:t>
      </w:r>
      <w:r w:rsidR="00232BE0" w:rsidRPr="00EE462D">
        <w:t>ontrol of vectors such as wild animals.</w:t>
      </w:r>
    </w:p>
    <w:p w14:paraId="206B1924" w14:textId="03926447" w:rsidR="00232BE0" w:rsidRPr="00067884" w:rsidRDefault="00232BE0" w:rsidP="00232BE0">
      <w:r w:rsidRPr="00FC6630">
        <w:t xml:space="preserve">The use of </w:t>
      </w:r>
      <w:r w:rsidR="00F55855">
        <w:t>a stamping-out</w:t>
      </w:r>
      <w:r w:rsidR="00F55855" w:rsidRPr="00FC6630">
        <w:t xml:space="preserve"> </w:t>
      </w:r>
      <w:r w:rsidRPr="00FC6630">
        <w:t xml:space="preserve">strategy and any of these tactics in the control and management </w:t>
      </w:r>
      <w:r w:rsidR="00F55855">
        <w:t>of</w:t>
      </w:r>
      <w:r w:rsidR="00F55855" w:rsidRPr="00FC6630">
        <w:t xml:space="preserve"> </w:t>
      </w:r>
      <w:r w:rsidRPr="00FC6630">
        <w:t xml:space="preserve">an </w:t>
      </w:r>
      <w:r w:rsidR="00F55855">
        <w:t>emergency wildlife disease (</w:t>
      </w:r>
      <w:r w:rsidRPr="00FC6630">
        <w:t>EWD</w:t>
      </w:r>
      <w:r w:rsidR="00F55855">
        <w:t>)</w:t>
      </w:r>
      <w:r w:rsidRPr="00FC6630">
        <w:t xml:space="preserve"> will be more complex than in production animals. The context for the management of an EWD will inevitably necessitate variations to these tactics and strategy. The tactics do</w:t>
      </w:r>
      <w:r w:rsidR="00F55855">
        <w:t>,</w:t>
      </w:r>
      <w:r w:rsidRPr="00FC6630">
        <w:t xml:space="preserve"> however</w:t>
      </w:r>
      <w:r w:rsidR="00F55855">
        <w:t>,</w:t>
      </w:r>
      <w:r w:rsidRPr="00FC6630">
        <w:t xml:space="preserve"> provide a starting point for an EWD response</w:t>
      </w:r>
      <w:r w:rsidRPr="00067884">
        <w:t xml:space="preserve">. </w:t>
      </w:r>
    </w:p>
    <w:p w14:paraId="47B032B9" w14:textId="32C4E65E" w:rsidR="00232BE0" w:rsidRDefault="00F55855" w:rsidP="00232BE0">
      <w:pPr>
        <w:pStyle w:val="NormalBeforeBullet"/>
      </w:pPr>
      <w:r>
        <w:t>As</w:t>
      </w:r>
      <w:r w:rsidR="00232BE0">
        <w:t xml:space="preserve"> for an </w:t>
      </w:r>
      <w:r>
        <w:t>emergency animal disease</w:t>
      </w:r>
      <w:r w:rsidR="00232BE0">
        <w:t>, the nature of the specific tactics and strateg</w:t>
      </w:r>
      <w:r w:rsidR="00234A79">
        <w:t>ies</w:t>
      </w:r>
      <w:r w:rsidR="00232BE0">
        <w:t xml:space="preserve"> for an EWD will be influenced by a wide range of factors for a given context (see </w:t>
      </w:r>
      <w:r>
        <w:t>Section 6.6</w:t>
      </w:r>
      <w:r w:rsidR="00232BE0">
        <w:t xml:space="preserve">). </w:t>
      </w:r>
      <w:r>
        <w:t>However, i</w:t>
      </w:r>
      <w:r w:rsidR="00232BE0" w:rsidRPr="00EE462D">
        <w:t>t is</w:t>
      </w:r>
      <w:r>
        <w:t xml:space="preserve"> </w:t>
      </w:r>
      <w:r w:rsidR="00232BE0" w:rsidRPr="00EE462D">
        <w:t>very likely that alternative and novel tactics will be necessary to control an</w:t>
      </w:r>
      <w:r w:rsidR="00232BE0">
        <w:t>d manage a disease in</w:t>
      </w:r>
      <w:r w:rsidR="00232BE0" w:rsidRPr="00EE462D">
        <w:t xml:space="preserve"> </w:t>
      </w:r>
      <w:r w:rsidR="00232BE0">
        <w:t xml:space="preserve">native </w:t>
      </w:r>
      <w:r w:rsidR="00232BE0" w:rsidRPr="00EE462D">
        <w:t xml:space="preserve">wildlife. </w:t>
      </w:r>
      <w:r w:rsidR="00232BE0">
        <w:t>Alternative options and measures for management of an EWD may include:</w:t>
      </w:r>
    </w:p>
    <w:p w14:paraId="4D96C955" w14:textId="46C66410" w:rsidR="00232BE0" w:rsidRPr="003C285C" w:rsidRDefault="00F55855" w:rsidP="00232BE0">
      <w:pPr>
        <w:pStyle w:val="Bullet"/>
      </w:pPr>
      <w:r>
        <w:t>m</w:t>
      </w:r>
      <w:r w:rsidR="00232BE0" w:rsidRPr="003C285C">
        <w:t>anaging accessibility to suspect populations (movement control</w:t>
      </w:r>
      <w:r w:rsidR="00F049C0">
        <w:t>s</w:t>
      </w:r>
      <w:r w:rsidR="00232BE0" w:rsidRPr="003C285C">
        <w:t>)</w:t>
      </w:r>
    </w:p>
    <w:p w14:paraId="2CB6B1D3" w14:textId="43F99154" w:rsidR="00232BE0" w:rsidRPr="003C285C" w:rsidRDefault="00F55855" w:rsidP="00232BE0">
      <w:pPr>
        <w:pStyle w:val="Bullet"/>
      </w:pPr>
      <w:r>
        <w:t>m</w:t>
      </w:r>
      <w:r w:rsidR="00232BE0" w:rsidRPr="003C285C">
        <w:t xml:space="preserve">aking use of landscape corridors or variations in the landscape that have the potential to affect the distribution of </w:t>
      </w:r>
      <w:r w:rsidR="00232BE0">
        <w:t xml:space="preserve">the </w:t>
      </w:r>
      <w:r w:rsidR="00232BE0" w:rsidRPr="003C285C">
        <w:t>host(s)</w:t>
      </w:r>
    </w:p>
    <w:p w14:paraId="77D0AD5D" w14:textId="58492359" w:rsidR="00232BE0" w:rsidRPr="003C285C" w:rsidRDefault="00F55855" w:rsidP="00232BE0">
      <w:pPr>
        <w:pStyle w:val="Bullet"/>
      </w:pPr>
      <w:r>
        <w:t>t</w:t>
      </w:r>
      <w:r w:rsidR="00232BE0" w:rsidRPr="003C285C">
        <w:t xml:space="preserve">argeted culling </w:t>
      </w:r>
    </w:p>
    <w:p w14:paraId="1B97AE17" w14:textId="2C63F69A" w:rsidR="00232BE0" w:rsidRPr="003C285C" w:rsidRDefault="00F55855" w:rsidP="00232BE0">
      <w:pPr>
        <w:pStyle w:val="Bullet"/>
      </w:pPr>
      <w:r>
        <w:t>use of l</w:t>
      </w:r>
      <w:r w:rsidR="00232BE0" w:rsidRPr="003C285C">
        <w:t>ures</w:t>
      </w:r>
      <w:r>
        <w:t>,</w:t>
      </w:r>
      <w:r w:rsidR="00232BE0" w:rsidRPr="003C285C">
        <w:t xml:space="preserve"> including </w:t>
      </w:r>
      <w:r>
        <w:t>‘</w:t>
      </w:r>
      <w:r w:rsidR="00232BE0" w:rsidRPr="003C285C">
        <w:t>Judas</w:t>
      </w:r>
      <w:r>
        <w:t>’</w:t>
      </w:r>
      <w:r w:rsidR="00232BE0" w:rsidRPr="003C285C">
        <w:t xml:space="preserve"> hosts, baits, shelter, food and water</w:t>
      </w:r>
    </w:p>
    <w:p w14:paraId="24FE7203" w14:textId="6D93E27D" w:rsidR="00232BE0" w:rsidRPr="003C285C" w:rsidRDefault="00F55855" w:rsidP="00232BE0">
      <w:pPr>
        <w:pStyle w:val="Bullet"/>
      </w:pPr>
      <w:r>
        <w:t>b</w:t>
      </w:r>
      <w:r w:rsidR="00232BE0" w:rsidRPr="003C285C">
        <w:t>iosecurity measures</w:t>
      </w:r>
      <w:r>
        <w:t>,</w:t>
      </w:r>
      <w:r w:rsidR="00232BE0" w:rsidRPr="003C285C">
        <w:t xml:space="preserve"> including decontamination </w:t>
      </w:r>
      <w:r>
        <w:t>of</w:t>
      </w:r>
      <w:r w:rsidRPr="003C285C">
        <w:t xml:space="preserve"> </w:t>
      </w:r>
      <w:r w:rsidR="00232BE0" w:rsidRPr="003C285C">
        <w:t>high-risk sites</w:t>
      </w:r>
    </w:p>
    <w:p w14:paraId="5068A5C5" w14:textId="5D64B4CB" w:rsidR="00232BE0" w:rsidRPr="003C285C" w:rsidRDefault="00F55855" w:rsidP="00232BE0">
      <w:pPr>
        <w:pStyle w:val="Bullet"/>
      </w:pPr>
      <w:r>
        <w:t>e</w:t>
      </w:r>
      <w:r w:rsidR="00232BE0" w:rsidRPr="003C285C">
        <w:t>nvironmental modification</w:t>
      </w:r>
    </w:p>
    <w:p w14:paraId="59AC57BF" w14:textId="6061E1E7" w:rsidR="00232BE0" w:rsidRPr="003C285C" w:rsidRDefault="00F55855" w:rsidP="00232BE0">
      <w:pPr>
        <w:pStyle w:val="Bullet"/>
      </w:pPr>
      <w:r>
        <w:t>v</w:t>
      </w:r>
      <w:r w:rsidR="00232BE0" w:rsidRPr="003C285C">
        <w:t>accination</w:t>
      </w:r>
      <w:r>
        <w:t>,</w:t>
      </w:r>
      <w:r w:rsidR="00232BE0" w:rsidRPr="003C285C">
        <w:t xml:space="preserve"> including use of novel application techniques</w:t>
      </w:r>
    </w:p>
    <w:p w14:paraId="43AF2AC7" w14:textId="57D4B375" w:rsidR="00232BE0" w:rsidRPr="003C285C" w:rsidRDefault="00F55855" w:rsidP="00230CCC">
      <w:pPr>
        <w:pStyle w:val="BulletLast"/>
      </w:pPr>
      <w:r>
        <w:t>c</w:t>
      </w:r>
      <w:r w:rsidR="00232BE0" w:rsidRPr="003C285C">
        <w:t>onservation alternatives</w:t>
      </w:r>
      <w:r>
        <w:t>,</w:t>
      </w:r>
      <w:r w:rsidR="00232BE0">
        <w:t xml:space="preserve"> such as retention of genetic material or hosts (genome banking or captive breeding)</w:t>
      </w:r>
      <w:r w:rsidR="00232BE0" w:rsidRPr="003C285C">
        <w:t>.</w:t>
      </w:r>
    </w:p>
    <w:p w14:paraId="3208FFD1" w14:textId="2E48BD32" w:rsidR="00232BE0" w:rsidRPr="0085452B" w:rsidRDefault="00232BE0" w:rsidP="00232BE0">
      <w:pPr>
        <w:rPr>
          <w:b/>
        </w:rPr>
      </w:pPr>
      <w:r>
        <w:t>Some options</w:t>
      </w:r>
      <w:r w:rsidR="00F55855">
        <w:t>,</w:t>
      </w:r>
      <w:r>
        <w:t xml:space="preserve"> including conservation alternatives</w:t>
      </w:r>
      <w:r w:rsidR="00F55855">
        <w:t>,</w:t>
      </w:r>
      <w:r>
        <w:t xml:space="preserve"> that do not directly support eradication of the EWD are unlikely to be covered by the </w:t>
      </w:r>
      <w:r w:rsidR="00F55855" w:rsidRPr="00EC0D05">
        <w:t>National Environmental Biosecurity Response Agreement</w:t>
      </w:r>
      <w:r w:rsidR="00F55855">
        <w:t xml:space="preserve"> (</w:t>
      </w:r>
      <w:r>
        <w:t>NEBRA</w:t>
      </w:r>
      <w:r w:rsidR="00F55855">
        <w:t>)</w:t>
      </w:r>
      <w:r>
        <w:t xml:space="preserve">. </w:t>
      </w:r>
    </w:p>
    <w:p w14:paraId="1E4AC181" w14:textId="32D941B8" w:rsidR="00232BE0" w:rsidRPr="00FC6630" w:rsidRDefault="00232BE0" w:rsidP="00232BE0">
      <w:r w:rsidRPr="00FC6630">
        <w:t xml:space="preserve">It is important that the necessary time and space are </w:t>
      </w:r>
      <w:r w:rsidR="00F55855">
        <w:t>available</w:t>
      </w:r>
      <w:r w:rsidR="00F55855" w:rsidRPr="00FC6630">
        <w:t xml:space="preserve"> </w:t>
      </w:r>
      <w:r w:rsidRPr="00FC6630">
        <w:t>to consider strategic and tactical options</w:t>
      </w:r>
      <w:r w:rsidR="00F55855">
        <w:t xml:space="preserve">, </w:t>
      </w:r>
      <w:r w:rsidRPr="00FC6630">
        <w:t>rather than defaulting to options that appear to be available in the first instance</w:t>
      </w:r>
      <w:r w:rsidR="00F55855">
        <w:t xml:space="preserve"> (s</w:t>
      </w:r>
      <w:r>
        <w:t xml:space="preserve">ee </w:t>
      </w:r>
      <w:r w:rsidR="00F55855">
        <w:t>Section 6.6)</w:t>
      </w:r>
      <w:r w:rsidRPr="00FC6630">
        <w:t xml:space="preserve">. </w:t>
      </w:r>
    </w:p>
    <w:p w14:paraId="34EE3DC4" w14:textId="4755C86E" w:rsidR="00232BE0" w:rsidRDefault="00232BE0" w:rsidP="00232BE0">
      <w:pPr>
        <w:rPr>
          <w:b/>
        </w:rPr>
      </w:pPr>
      <w:r>
        <w:lastRenderedPageBreak/>
        <w:t>AUSVETPLAN provides additional information that may assist in decision making regarding tactics and strateg</w:t>
      </w:r>
      <w:r w:rsidR="00F55855">
        <w:t>ies</w:t>
      </w:r>
      <w:r>
        <w:t xml:space="preserve"> for rare and valuable captive animals (</w:t>
      </w:r>
      <w:r w:rsidRPr="00AF00AF">
        <w:t>AHA</w:t>
      </w:r>
      <w:r>
        <w:t xml:space="preserve"> 2016).</w:t>
      </w:r>
    </w:p>
    <w:p w14:paraId="6C0744C5" w14:textId="513C4AAD" w:rsidR="00B146AC" w:rsidRPr="00813680" w:rsidRDefault="007803BB" w:rsidP="00766FF7">
      <w:r w:rsidRPr="00813680">
        <w:t>Planning during a response in an affected state</w:t>
      </w:r>
      <w:r w:rsidR="004B291C">
        <w:t xml:space="preserve"> or </w:t>
      </w:r>
      <w:r w:rsidRPr="00813680">
        <w:t xml:space="preserve">territory </w:t>
      </w:r>
      <w:r w:rsidR="00813680" w:rsidRPr="00813680">
        <w:t>is undertaken for the national, state</w:t>
      </w:r>
      <w:r w:rsidR="004B291C">
        <w:t xml:space="preserve"> and territory</w:t>
      </w:r>
      <w:r w:rsidR="00F55855">
        <w:t>,</w:t>
      </w:r>
      <w:r w:rsidR="00813680" w:rsidRPr="00813680">
        <w:t xml:space="preserve"> and regional</w:t>
      </w:r>
      <w:r w:rsidR="004B291C">
        <w:t xml:space="preserve"> or </w:t>
      </w:r>
      <w:r w:rsidR="00813680" w:rsidRPr="00813680">
        <w:t>local levels.</w:t>
      </w:r>
    </w:p>
    <w:p w14:paraId="7A2F452B" w14:textId="1CA9EEC4" w:rsidR="00813680" w:rsidRPr="00E14083" w:rsidRDefault="00A80AEB" w:rsidP="00A80AEB">
      <w:pPr>
        <w:pStyle w:val="Heading2"/>
      </w:pPr>
      <w:bookmarkStart w:id="78" w:name="_Toc529783786"/>
      <w:bookmarkStart w:id="79" w:name="_Hlk509218488"/>
      <w:r>
        <w:t>6.</w:t>
      </w:r>
      <w:r w:rsidR="001024D9">
        <w:t>2</w:t>
      </w:r>
      <w:r>
        <w:tab/>
      </w:r>
      <w:r w:rsidR="00CF2684">
        <w:t>N</w:t>
      </w:r>
      <w:r w:rsidR="00813680" w:rsidRPr="00E14083">
        <w:t>ational level</w:t>
      </w:r>
      <w:bookmarkEnd w:id="78"/>
    </w:p>
    <w:bookmarkEnd w:id="79"/>
    <w:p w14:paraId="73C97C11" w14:textId="64B7CD73" w:rsidR="00813680" w:rsidRPr="00813680" w:rsidRDefault="00813680" w:rsidP="00766FF7">
      <w:pPr>
        <w:pStyle w:val="NormalBeforeBullet"/>
      </w:pPr>
      <w:r w:rsidRPr="00813680">
        <w:t xml:space="preserve">The </w:t>
      </w:r>
      <w:r w:rsidR="00F55855">
        <w:t>State Coordination Centre (</w:t>
      </w:r>
      <w:r w:rsidRPr="00813680">
        <w:t>SCC</w:t>
      </w:r>
      <w:r w:rsidR="00F55855">
        <w:t>)</w:t>
      </w:r>
      <w:r w:rsidRPr="00813680">
        <w:t xml:space="preserve"> i</w:t>
      </w:r>
      <w:r w:rsidR="00823FE8">
        <w:t>n</w:t>
      </w:r>
      <w:r w:rsidRPr="00813680">
        <w:t xml:space="preserve"> the affected state</w:t>
      </w:r>
      <w:r w:rsidR="004B291C">
        <w:t xml:space="preserve"> or </w:t>
      </w:r>
      <w:r w:rsidRPr="00813680">
        <w:t xml:space="preserve">territory will undertake a significant amount </w:t>
      </w:r>
      <w:r w:rsidR="000D660C" w:rsidRPr="00813680">
        <w:t>of planning</w:t>
      </w:r>
      <w:r w:rsidRPr="00813680">
        <w:t xml:space="preserve">. </w:t>
      </w:r>
      <w:r w:rsidR="00B3243A">
        <w:t>I</w:t>
      </w:r>
      <w:r w:rsidR="00B3243A" w:rsidRPr="00813680">
        <w:t>n the initial stages of a response</w:t>
      </w:r>
      <w:r w:rsidR="00B3243A">
        <w:t>,</w:t>
      </w:r>
      <w:r w:rsidR="00B3243A" w:rsidRPr="00813680">
        <w:t xml:space="preserve"> </w:t>
      </w:r>
      <w:r w:rsidR="00B3243A">
        <w:t>t</w:t>
      </w:r>
      <w:r w:rsidRPr="00813680">
        <w:t xml:space="preserve">he key outputs </w:t>
      </w:r>
      <w:r w:rsidR="002F3540" w:rsidRPr="00813680">
        <w:t xml:space="preserve">from the SCC </w:t>
      </w:r>
      <w:r w:rsidR="005F035A">
        <w:t xml:space="preserve">for use at the national level </w:t>
      </w:r>
      <w:r w:rsidR="00D83684">
        <w:t xml:space="preserve">by the </w:t>
      </w:r>
      <w:r w:rsidR="00B3243A" w:rsidRPr="004B3655">
        <w:t>National Biosecurity Management Group</w:t>
      </w:r>
      <w:r w:rsidR="00B3243A" w:rsidRPr="000824B9">
        <w:t xml:space="preserve"> </w:t>
      </w:r>
      <w:r w:rsidR="00B3243A">
        <w:t>(</w:t>
      </w:r>
      <w:r w:rsidR="00B3243A" w:rsidRPr="000824B9">
        <w:t>NBMG</w:t>
      </w:r>
      <w:r w:rsidR="00B3243A">
        <w:t>)</w:t>
      </w:r>
      <w:r w:rsidR="00B3243A" w:rsidRPr="000824B9">
        <w:t xml:space="preserve"> and the </w:t>
      </w:r>
      <w:r w:rsidR="00B3243A" w:rsidRPr="004B3655">
        <w:t>National Biosecurity Management Consultative Committee</w:t>
      </w:r>
      <w:r w:rsidR="00B3243A">
        <w:t xml:space="preserve"> (</w:t>
      </w:r>
      <w:r w:rsidR="00D83684">
        <w:t>NBMCC</w:t>
      </w:r>
      <w:r w:rsidR="00B3243A">
        <w:t>),</w:t>
      </w:r>
      <w:r w:rsidR="00D83684">
        <w:t xml:space="preserve"> </w:t>
      </w:r>
      <w:r w:rsidRPr="00813680">
        <w:t xml:space="preserve">as required under </w:t>
      </w:r>
      <w:r w:rsidR="00B3243A">
        <w:t xml:space="preserve">the </w:t>
      </w:r>
      <w:r w:rsidRPr="00813680">
        <w:t>NEBRA</w:t>
      </w:r>
      <w:r w:rsidR="00B3243A">
        <w:t>,</w:t>
      </w:r>
      <w:r w:rsidRPr="00813680">
        <w:t xml:space="preserve"> are</w:t>
      </w:r>
      <w:r w:rsidR="00013912">
        <w:t>:</w:t>
      </w:r>
    </w:p>
    <w:p w14:paraId="55DAC889" w14:textId="7A51A923" w:rsidR="00813680" w:rsidRDefault="00B3243A" w:rsidP="00766FF7">
      <w:pPr>
        <w:pStyle w:val="Bullet"/>
      </w:pPr>
      <w:r>
        <w:t>s</w:t>
      </w:r>
      <w:r w:rsidR="00813680">
        <w:t xml:space="preserve">ituation reports </w:t>
      </w:r>
      <w:r w:rsidR="008E65F9">
        <w:t xml:space="preserve">(sitreps) </w:t>
      </w:r>
      <w:r w:rsidR="00813680">
        <w:t>at frequent and regular intervals</w:t>
      </w:r>
    </w:p>
    <w:p w14:paraId="09454997" w14:textId="11689A3A" w:rsidR="00813680" w:rsidRDefault="00813680" w:rsidP="00766FF7">
      <w:pPr>
        <w:pStyle w:val="Bullet"/>
      </w:pPr>
      <w:r w:rsidRPr="00813680">
        <w:t xml:space="preserve">assessment of </w:t>
      </w:r>
      <w:r w:rsidR="00B3243A">
        <w:t xml:space="preserve">the </w:t>
      </w:r>
      <w:r w:rsidR="00B3243A" w:rsidRPr="00813680">
        <w:t xml:space="preserve">national significance </w:t>
      </w:r>
      <w:r w:rsidR="00B3243A">
        <w:t xml:space="preserve">of </w:t>
      </w:r>
      <w:r w:rsidRPr="00813680">
        <w:t>the target ho</w:t>
      </w:r>
      <w:r w:rsidR="00823FE8">
        <w:t>s</w:t>
      </w:r>
      <w:r w:rsidRPr="00813680">
        <w:t>t(s)</w:t>
      </w:r>
    </w:p>
    <w:p w14:paraId="50035905" w14:textId="6A752050" w:rsidR="00C61934" w:rsidRDefault="00B3243A" w:rsidP="00766FF7">
      <w:pPr>
        <w:pStyle w:val="Bullet"/>
      </w:pPr>
      <w:r>
        <w:t>assessment of r</w:t>
      </w:r>
      <w:r w:rsidR="002F3540">
        <w:t xml:space="preserve">esource </w:t>
      </w:r>
      <w:r>
        <w:t>r</w:t>
      </w:r>
      <w:r w:rsidR="002F3540">
        <w:t>equirements</w:t>
      </w:r>
    </w:p>
    <w:p w14:paraId="1E6C9FF8" w14:textId="64972B09" w:rsidR="00813680" w:rsidRPr="00813680" w:rsidRDefault="00B3243A" w:rsidP="00766FF7">
      <w:pPr>
        <w:pStyle w:val="Bullet"/>
      </w:pPr>
      <w:r>
        <w:t>r</w:t>
      </w:r>
      <w:r w:rsidR="00813680" w:rsidRPr="00813680">
        <w:t xml:space="preserve">isk </w:t>
      </w:r>
      <w:r>
        <w:t>a</w:t>
      </w:r>
      <w:r w:rsidR="00813680" w:rsidRPr="00813680">
        <w:t>ssessment at the strategic level</w:t>
      </w:r>
      <w:r>
        <w:t>,</w:t>
      </w:r>
      <w:r w:rsidR="00813680" w:rsidRPr="00813680">
        <w:t xml:space="preserve"> </w:t>
      </w:r>
      <w:r>
        <w:t>addressing</w:t>
      </w:r>
      <w:r w:rsidRPr="00813680">
        <w:t xml:space="preserve"> </w:t>
      </w:r>
      <w:r w:rsidR="00813680" w:rsidRPr="00813680">
        <w:t xml:space="preserve">likelihood of spread, </w:t>
      </w:r>
      <w:r>
        <w:t xml:space="preserve">likelihood of </w:t>
      </w:r>
      <w:r w:rsidR="00813680" w:rsidRPr="00813680">
        <w:t xml:space="preserve">re-entry of </w:t>
      </w:r>
      <w:r>
        <w:t xml:space="preserve">the </w:t>
      </w:r>
      <w:r w:rsidR="00813680" w:rsidRPr="00813680">
        <w:t xml:space="preserve">EWD in the future, </w:t>
      </w:r>
      <w:r>
        <w:t xml:space="preserve">and </w:t>
      </w:r>
      <w:r w:rsidR="00813680" w:rsidRPr="00813680">
        <w:t>impacts on public health and public amenity</w:t>
      </w:r>
    </w:p>
    <w:p w14:paraId="3A01D51D" w14:textId="367A5F7D" w:rsidR="00813680" w:rsidRPr="00813680" w:rsidRDefault="00B3243A" w:rsidP="00766FF7">
      <w:pPr>
        <w:pStyle w:val="Bullet"/>
      </w:pPr>
      <w:r>
        <w:t>cost–b</w:t>
      </w:r>
      <w:r w:rsidR="00813680" w:rsidRPr="00813680">
        <w:t>enefit analysis for eradication of the EWD</w:t>
      </w:r>
    </w:p>
    <w:p w14:paraId="30E0A98E" w14:textId="3C407D84" w:rsidR="00813680" w:rsidRDefault="00B3243A" w:rsidP="00766FF7">
      <w:pPr>
        <w:pStyle w:val="Bullet"/>
      </w:pPr>
      <w:r>
        <w:t>a</w:t>
      </w:r>
      <w:r w:rsidR="00813680" w:rsidRPr="00813680">
        <w:t>pplicability of other cost</w:t>
      </w:r>
      <w:r>
        <w:t>-</w:t>
      </w:r>
      <w:r w:rsidR="00813680" w:rsidRPr="00813680">
        <w:t>sharing arrangements (</w:t>
      </w:r>
      <w:r>
        <w:t xml:space="preserve">taking into account whether </w:t>
      </w:r>
      <w:r w:rsidR="00813680" w:rsidRPr="00813680">
        <w:t xml:space="preserve">there </w:t>
      </w:r>
      <w:r>
        <w:t xml:space="preserve">is </w:t>
      </w:r>
      <w:r w:rsidR="00813680" w:rsidRPr="00813680">
        <w:t>an effect on primary production)</w:t>
      </w:r>
    </w:p>
    <w:p w14:paraId="60FF6F3B" w14:textId="7BF39E1F" w:rsidR="00813680" w:rsidRDefault="00B3243A" w:rsidP="00766FF7">
      <w:pPr>
        <w:pStyle w:val="Bullet"/>
      </w:pPr>
      <w:r>
        <w:t>t</w:t>
      </w:r>
      <w:r w:rsidR="00813680">
        <w:t>echnical feasibility of eradication</w:t>
      </w:r>
    </w:p>
    <w:p w14:paraId="35D7CC80" w14:textId="1E742BAC" w:rsidR="00813680" w:rsidRPr="00813680" w:rsidRDefault="00B3243A" w:rsidP="00230CCC">
      <w:pPr>
        <w:pStyle w:val="BulletLast"/>
      </w:pPr>
      <w:r w:rsidRPr="00FC6630">
        <w:t xml:space="preserve">National Biosecurity </w:t>
      </w:r>
      <w:r>
        <w:t xml:space="preserve">Incident </w:t>
      </w:r>
      <w:r w:rsidRPr="00FC6630">
        <w:t>Response Plan</w:t>
      </w:r>
      <w:r w:rsidDel="00B3243A">
        <w:t xml:space="preserve"> </w:t>
      </w:r>
      <w:r>
        <w:t>(NRP)</w:t>
      </w:r>
      <w:r w:rsidR="00013912">
        <w:t>.</w:t>
      </w:r>
    </w:p>
    <w:p w14:paraId="4A0C61AF" w14:textId="69BC14FD" w:rsidR="00B5040F" w:rsidRPr="008565DC" w:rsidRDefault="008565DC" w:rsidP="00766FF7">
      <w:pPr>
        <w:pStyle w:val="NormalBeforeBullet"/>
      </w:pPr>
      <w:r w:rsidRPr="008565DC">
        <w:t xml:space="preserve">The </w:t>
      </w:r>
      <w:r w:rsidR="00893238">
        <w:t>NRP</w:t>
      </w:r>
      <w:r w:rsidR="00B3243A">
        <w:t>,</w:t>
      </w:r>
      <w:r w:rsidRPr="008565DC">
        <w:t xml:space="preserve"> as </w:t>
      </w:r>
      <w:r w:rsidR="00B3243A">
        <w:t>required by</w:t>
      </w:r>
      <w:r w:rsidR="00B3243A" w:rsidRPr="008565DC">
        <w:t xml:space="preserve"> </w:t>
      </w:r>
      <w:r w:rsidRPr="008565DC">
        <w:t>the NEBRA</w:t>
      </w:r>
      <w:r w:rsidR="00B3243A">
        <w:t>,</w:t>
      </w:r>
      <w:r w:rsidRPr="008565DC">
        <w:t xml:space="preserve"> </w:t>
      </w:r>
      <w:r w:rsidR="00817564">
        <w:t>must</w:t>
      </w:r>
      <w:r w:rsidRPr="008565DC">
        <w:t xml:space="preserve"> include</w:t>
      </w:r>
      <w:r w:rsidR="00013912">
        <w:t>:</w:t>
      </w:r>
    </w:p>
    <w:p w14:paraId="580C64F1" w14:textId="40FFF338" w:rsidR="006D6BB4" w:rsidRPr="00817564" w:rsidRDefault="006D6BB4" w:rsidP="00766FF7">
      <w:pPr>
        <w:pStyle w:val="Bullet"/>
      </w:pPr>
      <w:r w:rsidRPr="00817564">
        <w:t>the results of a risk assessment of the disease outbreak</w:t>
      </w:r>
    </w:p>
    <w:p w14:paraId="6E8960BE" w14:textId="6D048C3B" w:rsidR="006D6BB4" w:rsidRPr="00817564" w:rsidRDefault="006D6BB4" w:rsidP="00766FF7">
      <w:pPr>
        <w:pStyle w:val="Bullet"/>
      </w:pPr>
      <w:r w:rsidRPr="00817564">
        <w:t>the results of the assessment of the disease outbreak against the national significance criteria</w:t>
      </w:r>
    </w:p>
    <w:p w14:paraId="27514825" w14:textId="4CAC2AB1" w:rsidR="006D6BB4" w:rsidRPr="00817564" w:rsidRDefault="006D6BB4" w:rsidP="00766FF7">
      <w:pPr>
        <w:pStyle w:val="Bullet"/>
      </w:pPr>
      <w:r w:rsidRPr="00817564">
        <w:t xml:space="preserve">the results of the technical feasibility analysis </w:t>
      </w:r>
    </w:p>
    <w:p w14:paraId="7449754D" w14:textId="51E7D7D1" w:rsidR="006D6BB4" w:rsidRPr="00817564" w:rsidRDefault="006D6BB4" w:rsidP="00766FF7">
      <w:pPr>
        <w:pStyle w:val="Bullet"/>
      </w:pPr>
      <w:r w:rsidRPr="00817564">
        <w:t xml:space="preserve">the results of the </w:t>
      </w:r>
      <w:r w:rsidR="00B3243A">
        <w:t>cost–</w:t>
      </w:r>
      <w:r w:rsidR="000D660C" w:rsidRPr="00817564">
        <w:t>benefit</w:t>
      </w:r>
      <w:r w:rsidR="00B3243A">
        <w:t xml:space="preserve"> </w:t>
      </w:r>
      <w:r w:rsidRPr="00817564">
        <w:t xml:space="preserve">analysis </w:t>
      </w:r>
    </w:p>
    <w:p w14:paraId="4125FE36" w14:textId="6B6312FA" w:rsidR="006D6BB4" w:rsidRPr="00817564" w:rsidRDefault="006D6BB4" w:rsidP="00766FF7">
      <w:pPr>
        <w:pStyle w:val="Bullet"/>
      </w:pPr>
      <w:r w:rsidRPr="00817564">
        <w:t>detail</w:t>
      </w:r>
      <w:r w:rsidR="00B3243A">
        <w:t>s</w:t>
      </w:r>
      <w:r w:rsidRPr="00817564">
        <w:t xml:space="preserve"> of the actions to be undertaken as part of the response, including identifying the parties that will undertake th</w:t>
      </w:r>
      <w:r w:rsidR="00B3243A">
        <w:t>e</w:t>
      </w:r>
      <w:r w:rsidRPr="00817564">
        <w:t xml:space="preserve">se actions </w:t>
      </w:r>
    </w:p>
    <w:p w14:paraId="6996458A" w14:textId="57FB9028" w:rsidR="006D6BB4" w:rsidRPr="00817564" w:rsidRDefault="006D6BB4" w:rsidP="00766FF7">
      <w:pPr>
        <w:pStyle w:val="Bullet"/>
      </w:pPr>
      <w:r w:rsidRPr="00817564">
        <w:t>recommended approaches for determining proof</w:t>
      </w:r>
      <w:r w:rsidR="00B3243A">
        <w:t xml:space="preserve"> </w:t>
      </w:r>
      <w:r w:rsidRPr="00817564">
        <w:t>of</w:t>
      </w:r>
      <w:r w:rsidR="00B3243A">
        <w:t xml:space="preserve"> </w:t>
      </w:r>
      <w:r w:rsidRPr="00817564">
        <w:t>freedom, including surveillance</w:t>
      </w:r>
    </w:p>
    <w:p w14:paraId="44F6BCDD" w14:textId="7CF6DDBD" w:rsidR="006D6BB4" w:rsidRPr="00817564" w:rsidRDefault="006D6BB4" w:rsidP="00766FF7">
      <w:pPr>
        <w:pStyle w:val="Bullet"/>
      </w:pPr>
      <w:r w:rsidRPr="00817564">
        <w:t>project</w:t>
      </w:r>
      <w:r w:rsidR="009D1587">
        <w:t>ed budgets and indicative costs</w:t>
      </w:r>
    </w:p>
    <w:p w14:paraId="15320D5D" w14:textId="25A58FCD" w:rsidR="009D1587" w:rsidRDefault="006D6BB4" w:rsidP="00230CCC">
      <w:pPr>
        <w:pStyle w:val="BulletLast"/>
      </w:pPr>
      <w:r w:rsidRPr="00817564">
        <w:t>review points or ‘caps’ relating to the extent of cost</w:t>
      </w:r>
      <w:r w:rsidR="00B3243A">
        <w:t xml:space="preserve"> </w:t>
      </w:r>
      <w:r w:rsidRPr="00817564">
        <w:t xml:space="preserve">sharing. </w:t>
      </w:r>
    </w:p>
    <w:p w14:paraId="48B83C2E" w14:textId="698E3DBC" w:rsidR="006D6BB4" w:rsidRPr="00817564" w:rsidRDefault="006D6BB4" w:rsidP="00766FF7">
      <w:r w:rsidRPr="00817564">
        <w:t xml:space="preserve">A review point may include the occurrence of a new outbreak of the disease in a different location, the point where an agreed limit of funding has been expended, </w:t>
      </w:r>
      <w:r w:rsidR="00097572">
        <w:t>and</w:t>
      </w:r>
      <w:r w:rsidRPr="00817564">
        <w:t xml:space="preserve"> other indicators of the effectiveness of the response arrangements to date.</w:t>
      </w:r>
    </w:p>
    <w:p w14:paraId="79E95E4B" w14:textId="17DF8B0E" w:rsidR="002A19B8" w:rsidRDefault="002A19B8" w:rsidP="00766FF7">
      <w:r w:rsidRPr="00F20BF6">
        <w:t xml:space="preserve">A template for </w:t>
      </w:r>
      <w:r w:rsidR="004E3DF9" w:rsidRPr="00F20BF6">
        <w:t>an</w:t>
      </w:r>
      <w:r w:rsidRPr="00F20BF6">
        <w:t xml:space="preserve"> NRP is presented in </w:t>
      </w:r>
      <w:r w:rsidRPr="00F20BF6">
        <w:rPr>
          <w:color w:val="000000" w:themeColor="text1"/>
        </w:rPr>
        <w:t>Appendix</w:t>
      </w:r>
      <w:r w:rsidR="00497376" w:rsidRPr="00097572">
        <w:rPr>
          <w:color w:val="000000" w:themeColor="text1"/>
        </w:rPr>
        <w:t xml:space="preserve"> </w:t>
      </w:r>
      <w:r w:rsidR="00623632" w:rsidRPr="00097572">
        <w:rPr>
          <w:color w:val="000000" w:themeColor="text1"/>
        </w:rPr>
        <w:t>1</w:t>
      </w:r>
      <w:r w:rsidR="00097572">
        <w:rPr>
          <w:color w:val="000000" w:themeColor="text1"/>
        </w:rPr>
        <w:t>.</w:t>
      </w:r>
      <w:r>
        <w:rPr>
          <w:color w:val="FF0000"/>
        </w:rPr>
        <w:t xml:space="preserve"> </w:t>
      </w:r>
      <w:r>
        <w:t>Th</w:t>
      </w:r>
      <w:r w:rsidR="00097572">
        <w:t>is</w:t>
      </w:r>
      <w:r>
        <w:t xml:space="preserve"> template is generic</w:t>
      </w:r>
      <w:r w:rsidR="00097572">
        <w:t>,</w:t>
      </w:r>
      <w:r>
        <w:t xml:space="preserve"> and </w:t>
      </w:r>
      <w:r w:rsidR="00497376">
        <w:t xml:space="preserve">will </w:t>
      </w:r>
      <w:r>
        <w:t>need to be adapted to a response context</w:t>
      </w:r>
      <w:r w:rsidR="00497376">
        <w:t xml:space="preserve"> and in accordance with state</w:t>
      </w:r>
      <w:r w:rsidR="004B291C">
        <w:t xml:space="preserve"> and </w:t>
      </w:r>
      <w:r w:rsidR="00497376">
        <w:t>territory procedures</w:t>
      </w:r>
      <w:r>
        <w:t xml:space="preserve">. The first version of </w:t>
      </w:r>
      <w:r w:rsidR="004E3DF9">
        <w:t>an</w:t>
      </w:r>
      <w:r>
        <w:t xml:space="preserve"> NRP is likely to be different </w:t>
      </w:r>
      <w:r w:rsidR="00097572">
        <w:t xml:space="preserve">from </w:t>
      </w:r>
      <w:r>
        <w:t>later versions</w:t>
      </w:r>
      <w:r w:rsidR="00497376">
        <w:t xml:space="preserve">. </w:t>
      </w:r>
      <w:r w:rsidR="00200862">
        <w:t>L</w:t>
      </w:r>
      <w:r w:rsidR="00497376">
        <w:t xml:space="preserve">ater versions will reflect a better understanding of the EWD, </w:t>
      </w:r>
      <w:r w:rsidR="00097572">
        <w:t xml:space="preserve">the </w:t>
      </w:r>
      <w:r w:rsidR="00497376">
        <w:t>host(s) and the overall context.</w:t>
      </w:r>
    </w:p>
    <w:p w14:paraId="07423C11" w14:textId="1A85A057" w:rsidR="008565DC" w:rsidRPr="00067884" w:rsidRDefault="008565DC" w:rsidP="00766FF7">
      <w:r>
        <w:lastRenderedPageBreak/>
        <w:t xml:space="preserve">During the </w:t>
      </w:r>
      <w:bookmarkStart w:id="80" w:name="_Hlk527624785"/>
      <w:r w:rsidR="00097572">
        <w:t>i</w:t>
      </w:r>
      <w:r w:rsidR="00225DAA">
        <w:t>nvestigation</w:t>
      </w:r>
      <w:r w:rsidR="005A2393">
        <w:t xml:space="preserve"> </w:t>
      </w:r>
      <w:r w:rsidR="00D65380">
        <w:t>and</w:t>
      </w:r>
      <w:r w:rsidR="005A2393">
        <w:t xml:space="preserve"> </w:t>
      </w:r>
      <w:r w:rsidR="00097572">
        <w:t>a</w:t>
      </w:r>
      <w:r w:rsidR="005A2393">
        <w:t>lert</w:t>
      </w:r>
      <w:r>
        <w:t xml:space="preserve"> </w:t>
      </w:r>
      <w:r w:rsidR="0086792A">
        <w:t>phase</w:t>
      </w:r>
      <w:bookmarkEnd w:id="80"/>
      <w:r w:rsidR="0086792A">
        <w:t>,</w:t>
      </w:r>
      <w:r>
        <w:t xml:space="preserve"> the initial versions of the </w:t>
      </w:r>
      <w:r w:rsidR="00893238">
        <w:t>NRP</w:t>
      </w:r>
      <w:r>
        <w:t xml:space="preserve"> will include the activities a</w:t>
      </w:r>
      <w:r w:rsidR="005F035A">
        <w:t>ssociated</w:t>
      </w:r>
      <w:r>
        <w:t xml:space="preserve"> </w:t>
      </w:r>
      <w:r w:rsidR="00097572">
        <w:t xml:space="preserve">with </w:t>
      </w:r>
      <w:r>
        <w:t xml:space="preserve">investigation and assessment of the </w:t>
      </w:r>
      <w:r w:rsidR="002F3540">
        <w:t xml:space="preserve">suspect </w:t>
      </w:r>
      <w:r>
        <w:t xml:space="preserve">EWD. The </w:t>
      </w:r>
      <w:r w:rsidR="00893238">
        <w:t>NRP</w:t>
      </w:r>
      <w:r>
        <w:t xml:space="preserve"> during this phase will detail the activities that will be undertaken to enable completion</w:t>
      </w:r>
      <w:r w:rsidR="00823FE8">
        <w:t xml:space="preserve"> and delivery</w:t>
      </w:r>
      <w:r>
        <w:t xml:space="preserve"> of the SCC Planning </w:t>
      </w:r>
      <w:r w:rsidRPr="00067884">
        <w:t>outputs needed to inform national decision making.</w:t>
      </w:r>
    </w:p>
    <w:p w14:paraId="7C89BC2C" w14:textId="67B89596" w:rsidR="008565DC" w:rsidRPr="00FC6630" w:rsidRDefault="008565DC" w:rsidP="00766FF7">
      <w:r w:rsidRPr="00FC6630">
        <w:t xml:space="preserve">The </w:t>
      </w:r>
      <w:r w:rsidR="00893238" w:rsidRPr="00FC6630">
        <w:t>NRP</w:t>
      </w:r>
      <w:r w:rsidRPr="00FC6630">
        <w:t xml:space="preserve"> </w:t>
      </w:r>
      <w:r w:rsidR="00823FE8" w:rsidRPr="00FC6630">
        <w:t xml:space="preserve">will inevitably </w:t>
      </w:r>
      <w:r w:rsidR="00097572">
        <w:t xml:space="preserve">be </w:t>
      </w:r>
      <w:r w:rsidRPr="00FC6630">
        <w:t>update</w:t>
      </w:r>
      <w:r w:rsidR="00097572">
        <w:t xml:space="preserve">d </w:t>
      </w:r>
      <w:r w:rsidRPr="00FC6630">
        <w:t xml:space="preserve">as various aspects of the context are better understood through the activities described in the earlier versions of the </w:t>
      </w:r>
      <w:r w:rsidR="00893238" w:rsidRPr="00FC6630">
        <w:t>NRP</w:t>
      </w:r>
      <w:r w:rsidRPr="00FC6630">
        <w:t>.</w:t>
      </w:r>
    </w:p>
    <w:p w14:paraId="5DC4A784" w14:textId="3B709DD9" w:rsidR="008565DC" w:rsidRDefault="008565DC" w:rsidP="00766FF7">
      <w:r>
        <w:t xml:space="preserve">The </w:t>
      </w:r>
      <w:r w:rsidR="00893238">
        <w:t>NRP</w:t>
      </w:r>
      <w:r>
        <w:t xml:space="preserve"> </w:t>
      </w:r>
      <w:r w:rsidR="00FB4A4B">
        <w:t>will</w:t>
      </w:r>
      <w:r>
        <w:t xml:space="preserve"> include trigger points and/or milestone</w:t>
      </w:r>
      <w:r w:rsidR="00823FE8">
        <w:t>s</w:t>
      </w:r>
      <w:r>
        <w:t xml:space="preserve"> that allow monitoring of the progress of the response. These trigger points and milestone</w:t>
      </w:r>
      <w:r w:rsidR="00497376">
        <w:t>s</w:t>
      </w:r>
      <w:r>
        <w:t xml:space="preserve"> will usually include limits of expenditure or budget </w:t>
      </w:r>
      <w:r w:rsidR="00097572">
        <w:t>(</w:t>
      </w:r>
      <w:r w:rsidR="000D660C">
        <w:t>eg</w:t>
      </w:r>
      <w:r w:rsidR="00097572">
        <w:t> </w:t>
      </w:r>
      <w:r>
        <w:t>80% of the agreed limit</w:t>
      </w:r>
      <w:r w:rsidR="00097572">
        <w:t>)</w:t>
      </w:r>
      <w:r w:rsidR="002E246F">
        <w:t xml:space="preserve">. They </w:t>
      </w:r>
      <w:r w:rsidR="00FB4A4B">
        <w:t>will</w:t>
      </w:r>
      <w:r w:rsidR="002E246F">
        <w:t xml:space="preserve"> also include targets around activities such as surveillance, laboratory throughput, level of community engagement and regulatory outputs.</w:t>
      </w:r>
    </w:p>
    <w:p w14:paraId="2D6D01A8" w14:textId="46C5659B" w:rsidR="002E246F" w:rsidRPr="00FC6630" w:rsidRDefault="002E246F" w:rsidP="00766FF7">
      <w:pPr>
        <w:rPr>
          <w:bCs/>
        </w:rPr>
      </w:pPr>
      <w:r w:rsidRPr="00FC6630">
        <w:rPr>
          <w:bCs/>
        </w:rPr>
        <w:t xml:space="preserve">The NBMG is able to consider and approve updated versions of </w:t>
      </w:r>
      <w:r w:rsidR="004E3DF9" w:rsidRPr="00FC6630">
        <w:rPr>
          <w:bCs/>
        </w:rPr>
        <w:t>an</w:t>
      </w:r>
      <w:r w:rsidRPr="00FC6630">
        <w:rPr>
          <w:bCs/>
        </w:rPr>
        <w:t xml:space="preserve"> </w:t>
      </w:r>
      <w:r w:rsidR="00893238" w:rsidRPr="00FC6630">
        <w:rPr>
          <w:bCs/>
        </w:rPr>
        <w:t>NRP</w:t>
      </w:r>
      <w:r w:rsidRPr="00FC6630">
        <w:rPr>
          <w:bCs/>
        </w:rPr>
        <w:t xml:space="preserve"> and the accompanying budget.</w:t>
      </w:r>
    </w:p>
    <w:p w14:paraId="5CE9A356" w14:textId="4298F1B9" w:rsidR="00E14083" w:rsidRPr="00E14083" w:rsidRDefault="00A80AEB" w:rsidP="00A80AEB">
      <w:pPr>
        <w:pStyle w:val="Heading2"/>
      </w:pPr>
      <w:bookmarkStart w:id="81" w:name="_Toc529783787"/>
      <w:r>
        <w:t>6.</w:t>
      </w:r>
      <w:r w:rsidR="001024D9">
        <w:t>3</w:t>
      </w:r>
      <w:r>
        <w:tab/>
      </w:r>
      <w:r w:rsidR="00E14083" w:rsidRPr="00E14083">
        <w:t>State</w:t>
      </w:r>
      <w:r w:rsidR="004B291C">
        <w:t xml:space="preserve"> and </w:t>
      </w:r>
      <w:r w:rsidR="00232921">
        <w:t>t</w:t>
      </w:r>
      <w:r w:rsidR="00E14083" w:rsidRPr="00E14083">
        <w:t>erritory</w:t>
      </w:r>
      <w:bookmarkEnd w:id="81"/>
      <w:r w:rsidR="00E14083" w:rsidRPr="00E14083">
        <w:t xml:space="preserve"> </w:t>
      </w:r>
    </w:p>
    <w:p w14:paraId="7EC02595" w14:textId="6A646918" w:rsidR="002E246F" w:rsidRPr="00B900D0" w:rsidRDefault="002E246F" w:rsidP="00766FF7">
      <w:pPr>
        <w:pStyle w:val="NormalBeforeBullet"/>
      </w:pPr>
      <w:r w:rsidRPr="009B3223">
        <w:t xml:space="preserve">SCC Planning will need to provide </w:t>
      </w:r>
      <w:r w:rsidR="00B900D0" w:rsidRPr="009B3223">
        <w:t>timely</w:t>
      </w:r>
      <w:r w:rsidR="00097572">
        <w:t>,</w:t>
      </w:r>
      <w:r w:rsidR="00B900D0" w:rsidRPr="009B3223">
        <w:t xml:space="preserve"> </w:t>
      </w:r>
      <w:r w:rsidRPr="009B3223">
        <w:t xml:space="preserve">specific advice to the NBMCC to support </w:t>
      </w:r>
      <w:r w:rsidR="00097572">
        <w:t>its</w:t>
      </w:r>
      <w:r w:rsidR="00097572" w:rsidRPr="009B3223">
        <w:t xml:space="preserve"> </w:t>
      </w:r>
      <w:r w:rsidRPr="009B3223">
        <w:t>decision making</w:t>
      </w:r>
      <w:r w:rsidRPr="00B900D0">
        <w:t xml:space="preserve">. The information required by </w:t>
      </w:r>
      <w:r w:rsidR="00097572">
        <w:t xml:space="preserve">the </w:t>
      </w:r>
      <w:r w:rsidRPr="00B900D0">
        <w:t>NBMCC</w:t>
      </w:r>
      <w:r w:rsidR="00097572">
        <w:t>,</w:t>
      </w:r>
      <w:r w:rsidRPr="00B900D0">
        <w:t xml:space="preserve"> as specified in the NEBRA</w:t>
      </w:r>
      <w:r w:rsidR="00097572">
        <w:t>,</w:t>
      </w:r>
      <w:r w:rsidRPr="00B900D0">
        <w:t xml:space="preserve"> is</w:t>
      </w:r>
      <w:r w:rsidR="00013912" w:rsidRPr="00B900D0">
        <w:t>:</w:t>
      </w:r>
    </w:p>
    <w:p w14:paraId="4385D197" w14:textId="32C32AFA" w:rsidR="00746729" w:rsidRPr="00AC1534" w:rsidRDefault="00746729" w:rsidP="00766FF7">
      <w:pPr>
        <w:pStyle w:val="Bullet"/>
      </w:pPr>
      <w:r w:rsidRPr="007F1AC5">
        <w:rPr>
          <w:rFonts w:cstheme="minorHAnsi"/>
        </w:rPr>
        <w:t xml:space="preserve">identification of the </w:t>
      </w:r>
      <w:r w:rsidRPr="002117C7">
        <w:rPr>
          <w:rFonts w:cstheme="minorHAnsi"/>
        </w:rPr>
        <w:t>disease</w:t>
      </w:r>
      <w:r w:rsidR="00210EFF" w:rsidRPr="0070539C">
        <w:rPr>
          <w:rFonts w:cstheme="minorHAnsi"/>
        </w:rPr>
        <w:t xml:space="preserve"> </w:t>
      </w:r>
      <w:r w:rsidR="002E246F" w:rsidRPr="0070539C">
        <w:rPr>
          <w:rFonts w:cstheme="minorHAnsi"/>
        </w:rPr>
        <w:t>that w</w:t>
      </w:r>
      <w:r w:rsidR="00817564" w:rsidRPr="0070539C">
        <w:rPr>
          <w:rFonts w:cstheme="minorHAnsi"/>
        </w:rPr>
        <w:t>ill</w:t>
      </w:r>
      <w:r w:rsidR="002E246F" w:rsidRPr="0070539C">
        <w:rPr>
          <w:rFonts w:cstheme="minorHAnsi"/>
        </w:rPr>
        <w:t xml:space="preserve"> be reported </w:t>
      </w:r>
      <w:r w:rsidR="002E246F" w:rsidRPr="00067884">
        <w:rPr>
          <w:rFonts w:cstheme="minorHAnsi"/>
        </w:rPr>
        <w:t xml:space="preserve">in </w:t>
      </w:r>
      <w:r w:rsidR="009B3223" w:rsidRPr="00067884">
        <w:rPr>
          <w:rFonts w:cstheme="minorHAnsi"/>
        </w:rPr>
        <w:t>s</w:t>
      </w:r>
      <w:r w:rsidR="009B3223" w:rsidRPr="00FC6630">
        <w:rPr>
          <w:rFonts w:cstheme="minorHAnsi"/>
        </w:rPr>
        <w:t>it</w:t>
      </w:r>
      <w:r w:rsidR="008E65F9">
        <w:rPr>
          <w:rFonts w:cstheme="minorHAnsi"/>
        </w:rPr>
        <w:t>reps</w:t>
      </w:r>
      <w:r w:rsidR="00AC1534" w:rsidRPr="00AC1534">
        <w:t xml:space="preserve"> </w:t>
      </w:r>
      <w:r w:rsidR="00097572">
        <w:t xml:space="preserve">(see </w:t>
      </w:r>
      <w:r w:rsidR="00AC1534" w:rsidRPr="00AC1534">
        <w:t>Appendix</w:t>
      </w:r>
      <w:r w:rsidR="001F1066">
        <w:t> 2</w:t>
      </w:r>
      <w:r w:rsidR="00097572">
        <w:t>)</w:t>
      </w:r>
    </w:p>
    <w:p w14:paraId="240114FE" w14:textId="0F3E9C3E" w:rsidR="00751FB2" w:rsidRPr="00097572" w:rsidRDefault="00746729" w:rsidP="00097572">
      <w:pPr>
        <w:pStyle w:val="Bullet"/>
        <w:rPr>
          <w:rStyle w:val="Hyperlink"/>
          <w:color w:val="000000"/>
          <w:u w:val="none"/>
        </w:rPr>
      </w:pPr>
      <w:r w:rsidRPr="00097572">
        <w:t>the control technique options</w:t>
      </w:r>
      <w:r w:rsidR="00210EFF" w:rsidRPr="00097572">
        <w:t xml:space="preserve"> </w:t>
      </w:r>
      <w:r w:rsidR="002E246F" w:rsidRPr="00097572">
        <w:t>that w</w:t>
      </w:r>
      <w:r w:rsidR="00817564" w:rsidRPr="00097572">
        <w:t>ill</w:t>
      </w:r>
      <w:r w:rsidR="002E246F" w:rsidRPr="00097572">
        <w:t xml:space="preserve"> specified in the </w:t>
      </w:r>
      <w:r w:rsidR="00893238" w:rsidRPr="00097572">
        <w:t>NRP</w:t>
      </w:r>
      <w:r w:rsidR="002E246F" w:rsidRPr="00097572">
        <w:t xml:space="preserve"> and assessed using an </w:t>
      </w:r>
      <w:r w:rsidR="00817564" w:rsidRPr="00097572">
        <w:t>a</w:t>
      </w:r>
      <w:r w:rsidR="00210EFF" w:rsidRPr="00097572">
        <w:t>ppreciation</w:t>
      </w:r>
      <w:r w:rsidR="00617468" w:rsidRPr="00097572">
        <w:t xml:space="preserve"> </w:t>
      </w:r>
      <w:r w:rsidR="00097572" w:rsidRPr="00097572">
        <w:t xml:space="preserve">flowchart (see </w:t>
      </w:r>
      <w:r w:rsidR="00617468" w:rsidRPr="00097572">
        <w:t>Appendix</w:t>
      </w:r>
      <w:r w:rsidR="001F1066">
        <w:t> 3</w:t>
      </w:r>
      <w:r w:rsidR="00097572">
        <w:t>)</w:t>
      </w:r>
      <w:r w:rsidR="00F84FF6" w:rsidRPr="00097572">
        <w:rPr>
          <w:rStyle w:val="Hyperlink"/>
          <w:color w:val="000000"/>
          <w:u w:val="none"/>
        </w:rPr>
        <w:t xml:space="preserve"> </w:t>
      </w:r>
    </w:p>
    <w:p w14:paraId="4A0A10FA" w14:textId="579F35CC" w:rsidR="00617468" w:rsidRPr="00097572" w:rsidRDefault="00097572" w:rsidP="00097572">
      <w:pPr>
        <w:pStyle w:val="Bullet"/>
        <w:rPr>
          <w:rStyle w:val="Hyperlink"/>
          <w:color w:val="000000"/>
          <w:u w:val="none"/>
        </w:rPr>
      </w:pPr>
      <w:r w:rsidRPr="00097572">
        <w:t>a</w:t>
      </w:r>
      <w:r w:rsidR="00746729" w:rsidRPr="00097572">
        <w:t>ny legislative impediments to undertaking a national biosecurity incident response</w:t>
      </w:r>
      <w:r w:rsidR="00210EFF" w:rsidRPr="00097572">
        <w:t xml:space="preserve"> </w:t>
      </w:r>
      <w:r w:rsidR="002E246F" w:rsidRPr="00097572">
        <w:t xml:space="preserve">that </w:t>
      </w:r>
      <w:r w:rsidR="00FB4A4B" w:rsidRPr="00097572">
        <w:t>will</w:t>
      </w:r>
      <w:r w:rsidR="002E246F" w:rsidRPr="00097572">
        <w:t xml:space="preserve"> </w:t>
      </w:r>
      <w:r>
        <w:t xml:space="preserve">be </w:t>
      </w:r>
      <w:r w:rsidR="002E246F" w:rsidRPr="00097572">
        <w:t>considered in the strategic risk assessment</w:t>
      </w:r>
      <w:r w:rsidR="001F1066">
        <w:t xml:space="preserve"> (see Appendix 4</w:t>
      </w:r>
      <w:r w:rsidR="00924852">
        <w:t>)</w:t>
      </w:r>
    </w:p>
    <w:p w14:paraId="7562D29E" w14:textId="1BD8B045" w:rsidR="00746729" w:rsidRPr="0070539C" w:rsidRDefault="00746729" w:rsidP="00766FF7">
      <w:pPr>
        <w:pStyle w:val="Bullet"/>
        <w:rPr>
          <w:rFonts w:cstheme="minorHAnsi"/>
        </w:rPr>
      </w:pPr>
      <w:r w:rsidRPr="0070539C">
        <w:rPr>
          <w:rFonts w:cstheme="minorHAnsi"/>
        </w:rPr>
        <w:t>the resources required to undertake a national biosecurity incident response</w:t>
      </w:r>
      <w:r w:rsidR="00210EFF" w:rsidRPr="0070539C">
        <w:rPr>
          <w:rFonts w:cstheme="minorHAnsi"/>
        </w:rPr>
        <w:t xml:space="preserve"> </w:t>
      </w:r>
      <w:r w:rsidR="002E246F" w:rsidRPr="0070539C">
        <w:rPr>
          <w:rFonts w:cstheme="minorHAnsi"/>
        </w:rPr>
        <w:t xml:space="preserve">that </w:t>
      </w:r>
      <w:r w:rsidR="00FB4A4B" w:rsidRPr="0070539C">
        <w:rPr>
          <w:rFonts w:cstheme="minorHAnsi"/>
        </w:rPr>
        <w:t>will</w:t>
      </w:r>
      <w:r w:rsidR="002E246F" w:rsidRPr="0070539C">
        <w:rPr>
          <w:rFonts w:cstheme="minorHAnsi"/>
        </w:rPr>
        <w:t xml:space="preserve"> be described in the </w:t>
      </w:r>
      <w:r w:rsidR="002E246F" w:rsidRPr="0044345F">
        <w:rPr>
          <w:rFonts w:cstheme="minorHAnsi"/>
          <w:bCs/>
          <w:color w:val="000000" w:themeColor="text1"/>
        </w:rPr>
        <w:t>N</w:t>
      </w:r>
      <w:r w:rsidR="007D5593" w:rsidRPr="0044345F">
        <w:rPr>
          <w:rFonts w:cstheme="minorHAnsi"/>
          <w:bCs/>
          <w:color w:val="000000" w:themeColor="text1"/>
        </w:rPr>
        <w:t>RP</w:t>
      </w:r>
      <w:r w:rsidR="009B3223" w:rsidRPr="0044345F">
        <w:rPr>
          <w:rFonts w:cstheme="minorHAnsi"/>
          <w:bCs/>
          <w:color w:val="000000" w:themeColor="text1"/>
        </w:rPr>
        <w:t xml:space="preserve"> </w:t>
      </w:r>
      <w:r w:rsidR="00924852">
        <w:rPr>
          <w:rFonts w:cstheme="minorHAnsi"/>
          <w:bCs/>
          <w:color w:val="000000" w:themeColor="text1"/>
        </w:rPr>
        <w:t>(see Appendix 1)</w:t>
      </w:r>
      <w:r w:rsidR="00924852">
        <w:rPr>
          <w:color w:val="000000" w:themeColor="text1"/>
        </w:rPr>
        <w:t xml:space="preserve"> </w:t>
      </w:r>
      <w:r w:rsidR="009B3223" w:rsidRPr="00FC6630">
        <w:rPr>
          <w:rFonts w:cstheme="minorHAnsi"/>
          <w:bCs/>
        </w:rPr>
        <w:t xml:space="preserve">and supporting </w:t>
      </w:r>
      <w:r w:rsidR="00E151A5" w:rsidRPr="00FC6630">
        <w:rPr>
          <w:rFonts w:cstheme="minorHAnsi"/>
          <w:bCs/>
        </w:rPr>
        <w:t>Resource Plan</w:t>
      </w:r>
    </w:p>
    <w:p w14:paraId="6B36FEF1" w14:textId="1C7C37E2" w:rsidR="00746729" w:rsidRPr="00FC6630" w:rsidRDefault="00746729" w:rsidP="00766FF7">
      <w:pPr>
        <w:pStyle w:val="Bullet"/>
        <w:rPr>
          <w:rFonts w:cstheme="minorHAnsi"/>
          <w:bCs/>
        </w:rPr>
      </w:pPr>
      <w:r w:rsidRPr="0070539C">
        <w:rPr>
          <w:rFonts w:cstheme="minorHAnsi"/>
        </w:rPr>
        <w:t>interim control measures that have been put in place by the notifying party and other relevant parties</w:t>
      </w:r>
      <w:r w:rsidR="00210EFF" w:rsidRPr="0070539C">
        <w:rPr>
          <w:rFonts w:cstheme="minorHAnsi"/>
        </w:rPr>
        <w:t xml:space="preserve"> </w:t>
      </w:r>
      <w:r w:rsidR="002E246F" w:rsidRPr="0070539C">
        <w:rPr>
          <w:rFonts w:cstheme="minorHAnsi"/>
        </w:rPr>
        <w:t xml:space="preserve">that would be described in </w:t>
      </w:r>
      <w:r w:rsidR="009B3223" w:rsidRPr="00FC6630">
        <w:rPr>
          <w:rFonts w:cstheme="minorHAnsi"/>
          <w:bCs/>
        </w:rPr>
        <w:t>s</w:t>
      </w:r>
      <w:r w:rsidR="00210EFF" w:rsidRPr="00FC6630">
        <w:rPr>
          <w:rFonts w:cstheme="minorHAnsi"/>
          <w:bCs/>
        </w:rPr>
        <w:t>it</w:t>
      </w:r>
      <w:r w:rsidR="008E65F9">
        <w:rPr>
          <w:rFonts w:cstheme="minorHAnsi"/>
          <w:bCs/>
        </w:rPr>
        <w:t>reps</w:t>
      </w:r>
      <w:r w:rsidR="002E246F" w:rsidRPr="00FC6630">
        <w:rPr>
          <w:rFonts w:cstheme="minorHAnsi"/>
          <w:bCs/>
        </w:rPr>
        <w:t xml:space="preserve"> and the initial versions of the </w:t>
      </w:r>
      <w:r w:rsidR="00893238" w:rsidRPr="00FC6630">
        <w:rPr>
          <w:rFonts w:cstheme="minorHAnsi"/>
          <w:bCs/>
        </w:rPr>
        <w:t>NRP</w:t>
      </w:r>
    </w:p>
    <w:p w14:paraId="37DF5405" w14:textId="1B55DD90" w:rsidR="00746729" w:rsidRPr="00FC6630" w:rsidRDefault="00746729" w:rsidP="00766FF7">
      <w:pPr>
        <w:pStyle w:val="Bullet"/>
        <w:rPr>
          <w:rFonts w:cstheme="minorHAnsi"/>
          <w:bCs/>
        </w:rPr>
      </w:pPr>
      <w:r w:rsidRPr="00FC6630">
        <w:rPr>
          <w:rFonts w:cstheme="minorHAnsi"/>
          <w:bCs/>
        </w:rPr>
        <w:t>the likely distribution of the disease</w:t>
      </w:r>
      <w:r w:rsidR="00210EFF" w:rsidRPr="00FC6630">
        <w:rPr>
          <w:rFonts w:cstheme="minorHAnsi"/>
          <w:bCs/>
        </w:rPr>
        <w:t xml:space="preserve"> </w:t>
      </w:r>
      <w:r w:rsidR="002E246F" w:rsidRPr="00FC6630">
        <w:rPr>
          <w:rFonts w:cstheme="minorHAnsi"/>
          <w:bCs/>
        </w:rPr>
        <w:t xml:space="preserve">that </w:t>
      </w:r>
      <w:r w:rsidR="00FB4A4B" w:rsidRPr="00FC6630">
        <w:rPr>
          <w:rFonts w:cstheme="minorHAnsi"/>
          <w:bCs/>
        </w:rPr>
        <w:t>will</w:t>
      </w:r>
      <w:r w:rsidR="002E246F" w:rsidRPr="00FC6630">
        <w:rPr>
          <w:rFonts w:cstheme="minorHAnsi"/>
          <w:bCs/>
        </w:rPr>
        <w:t xml:space="preserve"> be considered as part of the </w:t>
      </w:r>
      <w:r w:rsidR="00210EFF" w:rsidRPr="00FC6630">
        <w:rPr>
          <w:rFonts w:cstheme="minorHAnsi"/>
          <w:bCs/>
        </w:rPr>
        <w:t xml:space="preserve">technical </w:t>
      </w:r>
      <w:r w:rsidR="002E246F" w:rsidRPr="00FC6630">
        <w:rPr>
          <w:rFonts w:cstheme="minorHAnsi"/>
          <w:bCs/>
        </w:rPr>
        <w:t>feasibility of eradication</w:t>
      </w:r>
    </w:p>
    <w:p w14:paraId="0DA71006" w14:textId="2FB34890" w:rsidR="00746729" w:rsidRPr="00FC6630" w:rsidRDefault="00746729" w:rsidP="00766FF7">
      <w:pPr>
        <w:pStyle w:val="Bullet"/>
        <w:rPr>
          <w:rFonts w:cstheme="minorHAnsi"/>
          <w:bCs/>
        </w:rPr>
      </w:pPr>
      <w:r w:rsidRPr="00FC6630">
        <w:rPr>
          <w:rFonts w:cstheme="minorHAnsi"/>
          <w:bCs/>
        </w:rPr>
        <w:t>the estimated impacts of the disease</w:t>
      </w:r>
      <w:r w:rsidR="00210EFF" w:rsidRPr="00FC6630">
        <w:rPr>
          <w:rFonts w:cstheme="minorHAnsi"/>
          <w:bCs/>
        </w:rPr>
        <w:t xml:space="preserve"> </w:t>
      </w:r>
      <w:r w:rsidR="002E246F" w:rsidRPr="00FC6630">
        <w:rPr>
          <w:rFonts w:cstheme="minorHAnsi"/>
          <w:bCs/>
        </w:rPr>
        <w:t xml:space="preserve">that would be described in the </w:t>
      </w:r>
      <w:r w:rsidR="00210EFF" w:rsidRPr="00FC6630">
        <w:rPr>
          <w:rFonts w:cstheme="minorHAnsi"/>
          <w:bCs/>
        </w:rPr>
        <w:t>strategic risk assessment</w:t>
      </w:r>
      <w:r w:rsidR="002E246F" w:rsidRPr="00FC6630">
        <w:rPr>
          <w:rFonts w:cstheme="minorHAnsi"/>
          <w:bCs/>
        </w:rPr>
        <w:t xml:space="preserve"> and the national significance assessment</w:t>
      </w:r>
    </w:p>
    <w:p w14:paraId="4439534C" w14:textId="22299D27" w:rsidR="009A5F50" w:rsidRPr="00FC6630" w:rsidRDefault="00746729" w:rsidP="00766FF7">
      <w:pPr>
        <w:pStyle w:val="Bullet"/>
        <w:rPr>
          <w:rFonts w:cstheme="minorHAnsi"/>
          <w:bCs/>
        </w:rPr>
      </w:pPr>
      <w:r w:rsidRPr="00FC6630">
        <w:rPr>
          <w:rFonts w:cstheme="minorHAnsi"/>
          <w:bCs/>
        </w:rPr>
        <w:t>endemic disease controls that may limit establishment</w:t>
      </w:r>
      <w:r w:rsidR="00210EFF" w:rsidRPr="00FC6630">
        <w:rPr>
          <w:rFonts w:cstheme="minorHAnsi"/>
          <w:bCs/>
        </w:rPr>
        <w:t xml:space="preserve"> </w:t>
      </w:r>
      <w:r w:rsidR="009A5F50" w:rsidRPr="00FC6630">
        <w:rPr>
          <w:rFonts w:cstheme="minorHAnsi"/>
          <w:bCs/>
        </w:rPr>
        <w:t xml:space="preserve">that </w:t>
      </w:r>
      <w:r w:rsidR="00FB4A4B" w:rsidRPr="00FC6630">
        <w:rPr>
          <w:rFonts w:cstheme="minorHAnsi"/>
          <w:bCs/>
        </w:rPr>
        <w:t>will</w:t>
      </w:r>
      <w:r w:rsidR="009A5F50" w:rsidRPr="00FC6630">
        <w:rPr>
          <w:rFonts w:cstheme="minorHAnsi"/>
          <w:bCs/>
        </w:rPr>
        <w:t xml:space="preserve"> be considered as part of the technical feasibility of eradication</w:t>
      </w:r>
    </w:p>
    <w:p w14:paraId="2595F859" w14:textId="5A810A68" w:rsidR="009A5F50" w:rsidRPr="00FC6630" w:rsidRDefault="00746729" w:rsidP="00766FF7">
      <w:pPr>
        <w:pStyle w:val="Bullet"/>
        <w:rPr>
          <w:rFonts w:cstheme="minorHAnsi"/>
          <w:bCs/>
        </w:rPr>
      </w:pPr>
      <w:r w:rsidRPr="00FC6630">
        <w:rPr>
          <w:rFonts w:cstheme="minorHAnsi"/>
          <w:bCs/>
        </w:rPr>
        <w:t>identification of pathways</w:t>
      </w:r>
      <w:r w:rsidR="00210EFF" w:rsidRPr="00FC6630">
        <w:rPr>
          <w:rFonts w:cstheme="minorHAnsi"/>
          <w:bCs/>
        </w:rPr>
        <w:t xml:space="preserve"> </w:t>
      </w:r>
      <w:r w:rsidR="009A5F50" w:rsidRPr="00FC6630">
        <w:rPr>
          <w:rFonts w:cstheme="minorHAnsi"/>
          <w:bCs/>
        </w:rPr>
        <w:t xml:space="preserve">that </w:t>
      </w:r>
      <w:r w:rsidR="00FB4A4B" w:rsidRPr="00FC6630">
        <w:rPr>
          <w:rFonts w:cstheme="minorHAnsi"/>
          <w:bCs/>
        </w:rPr>
        <w:t>will</w:t>
      </w:r>
      <w:r w:rsidR="009A5F50" w:rsidRPr="00FC6630">
        <w:rPr>
          <w:rFonts w:cstheme="minorHAnsi"/>
          <w:bCs/>
        </w:rPr>
        <w:t xml:space="preserve"> be considered as part of the technical feasibility of eradication and strategic risk assessment</w:t>
      </w:r>
    </w:p>
    <w:p w14:paraId="312D12E5" w14:textId="7046B19D" w:rsidR="009A5F50" w:rsidRPr="00FC6630" w:rsidRDefault="00746729" w:rsidP="00766FF7">
      <w:pPr>
        <w:pStyle w:val="Bullet"/>
        <w:rPr>
          <w:rFonts w:cstheme="minorHAnsi"/>
          <w:bCs/>
        </w:rPr>
      </w:pPr>
      <w:r w:rsidRPr="00FC6630">
        <w:rPr>
          <w:rFonts w:cstheme="minorHAnsi"/>
          <w:bCs/>
        </w:rPr>
        <w:t>the level of confidence that all areas affected by the outbreak have been identified</w:t>
      </w:r>
      <w:r w:rsidR="00210EFF" w:rsidRPr="00FC6630">
        <w:rPr>
          <w:rFonts w:cstheme="minorHAnsi"/>
          <w:bCs/>
        </w:rPr>
        <w:t xml:space="preserve"> </w:t>
      </w:r>
      <w:r w:rsidR="009A5F50" w:rsidRPr="00FC6630">
        <w:rPr>
          <w:rFonts w:cstheme="minorHAnsi"/>
          <w:bCs/>
        </w:rPr>
        <w:t>that would be described in a number of outputs</w:t>
      </w:r>
      <w:r w:rsidR="00924852">
        <w:rPr>
          <w:rFonts w:cstheme="minorHAnsi"/>
          <w:bCs/>
        </w:rPr>
        <w:t>,</w:t>
      </w:r>
      <w:r w:rsidR="009A5F50" w:rsidRPr="00FC6630">
        <w:rPr>
          <w:rFonts w:cstheme="minorHAnsi"/>
          <w:bCs/>
        </w:rPr>
        <w:t xml:space="preserve"> including the </w:t>
      </w:r>
      <w:r w:rsidR="00893238" w:rsidRPr="00FC6630">
        <w:rPr>
          <w:rFonts w:cstheme="minorHAnsi"/>
          <w:bCs/>
        </w:rPr>
        <w:t>NRP</w:t>
      </w:r>
      <w:r w:rsidR="009A5F50" w:rsidRPr="00FC6630">
        <w:rPr>
          <w:rFonts w:cstheme="minorHAnsi"/>
          <w:bCs/>
        </w:rPr>
        <w:t xml:space="preserve"> and support</w:t>
      </w:r>
      <w:r w:rsidR="009B3223" w:rsidRPr="00FC6630">
        <w:rPr>
          <w:rFonts w:cstheme="minorHAnsi"/>
          <w:bCs/>
        </w:rPr>
        <w:t>ing surveillance plan, and the technical f</w:t>
      </w:r>
      <w:r w:rsidR="009A5F50" w:rsidRPr="00FC6630">
        <w:rPr>
          <w:rFonts w:cstheme="minorHAnsi"/>
          <w:bCs/>
        </w:rPr>
        <w:t>easibility assessment</w:t>
      </w:r>
    </w:p>
    <w:p w14:paraId="1558FFDA" w14:textId="16E94B83" w:rsidR="00746729" w:rsidRPr="00FC6630" w:rsidRDefault="00746729" w:rsidP="00766FF7">
      <w:pPr>
        <w:pStyle w:val="Bullet"/>
        <w:rPr>
          <w:rFonts w:cstheme="minorHAnsi"/>
          <w:bCs/>
        </w:rPr>
      </w:pPr>
      <w:r w:rsidRPr="00FC6630">
        <w:rPr>
          <w:rFonts w:cstheme="minorHAnsi"/>
          <w:bCs/>
        </w:rPr>
        <w:t>surveillance activities in place to confirm proof</w:t>
      </w:r>
      <w:r w:rsidR="00924852">
        <w:rPr>
          <w:rFonts w:cstheme="minorHAnsi"/>
          <w:bCs/>
        </w:rPr>
        <w:t xml:space="preserve"> </w:t>
      </w:r>
      <w:r w:rsidRPr="00FC6630">
        <w:rPr>
          <w:rFonts w:cstheme="minorHAnsi"/>
          <w:bCs/>
        </w:rPr>
        <w:t>of</w:t>
      </w:r>
      <w:r w:rsidR="00924852">
        <w:rPr>
          <w:rFonts w:cstheme="minorHAnsi"/>
          <w:bCs/>
        </w:rPr>
        <w:t xml:space="preserve"> </w:t>
      </w:r>
      <w:r w:rsidRPr="00FC6630">
        <w:rPr>
          <w:rFonts w:cstheme="minorHAnsi"/>
          <w:bCs/>
        </w:rPr>
        <w:t>freedom</w:t>
      </w:r>
      <w:r w:rsidR="00210EFF" w:rsidRPr="00FC6630">
        <w:rPr>
          <w:rFonts w:cstheme="minorHAnsi"/>
          <w:bCs/>
        </w:rPr>
        <w:t xml:space="preserve"> </w:t>
      </w:r>
      <w:r w:rsidR="009A5F50" w:rsidRPr="00FC6630">
        <w:rPr>
          <w:rFonts w:cstheme="minorHAnsi"/>
          <w:bCs/>
        </w:rPr>
        <w:t xml:space="preserve">that would be considered in the </w:t>
      </w:r>
      <w:r w:rsidR="00893238" w:rsidRPr="00FC6630">
        <w:rPr>
          <w:rFonts w:cstheme="minorHAnsi"/>
          <w:bCs/>
        </w:rPr>
        <w:t>NRP</w:t>
      </w:r>
      <w:r w:rsidR="009A5F50" w:rsidRPr="00FC6630">
        <w:rPr>
          <w:rFonts w:cstheme="minorHAnsi"/>
          <w:bCs/>
        </w:rPr>
        <w:t xml:space="preserve"> and supporting </w:t>
      </w:r>
      <w:r w:rsidR="009B3223" w:rsidRPr="00FC6630">
        <w:rPr>
          <w:rFonts w:cstheme="minorHAnsi"/>
          <w:bCs/>
        </w:rPr>
        <w:t>proof</w:t>
      </w:r>
      <w:r w:rsidR="00924852">
        <w:rPr>
          <w:rFonts w:cstheme="minorHAnsi"/>
          <w:bCs/>
        </w:rPr>
        <w:t>-</w:t>
      </w:r>
      <w:r w:rsidR="009B3223" w:rsidRPr="00FC6630">
        <w:rPr>
          <w:rFonts w:cstheme="minorHAnsi"/>
          <w:bCs/>
        </w:rPr>
        <w:t>of</w:t>
      </w:r>
      <w:r w:rsidR="00924852">
        <w:rPr>
          <w:rFonts w:cstheme="minorHAnsi"/>
          <w:bCs/>
        </w:rPr>
        <w:t>-</w:t>
      </w:r>
      <w:r w:rsidR="009B3223" w:rsidRPr="00FC6630">
        <w:rPr>
          <w:rFonts w:cstheme="minorHAnsi"/>
          <w:bCs/>
        </w:rPr>
        <w:t>f</w:t>
      </w:r>
      <w:r w:rsidR="00210EFF" w:rsidRPr="00FC6630">
        <w:rPr>
          <w:rFonts w:cstheme="minorHAnsi"/>
          <w:bCs/>
        </w:rPr>
        <w:t>reedom plan</w:t>
      </w:r>
      <w:r w:rsidR="009B3223" w:rsidRPr="00FC6630">
        <w:rPr>
          <w:rFonts w:cstheme="minorHAnsi"/>
          <w:bCs/>
        </w:rPr>
        <w:t>, and the t</w:t>
      </w:r>
      <w:r w:rsidR="009A5F50" w:rsidRPr="00FC6630">
        <w:rPr>
          <w:rFonts w:cstheme="minorHAnsi"/>
          <w:bCs/>
        </w:rPr>
        <w:t xml:space="preserve">echnical </w:t>
      </w:r>
      <w:r w:rsidR="009B3223" w:rsidRPr="00FC6630">
        <w:rPr>
          <w:rFonts w:cstheme="minorHAnsi"/>
          <w:bCs/>
        </w:rPr>
        <w:t>f</w:t>
      </w:r>
      <w:r w:rsidR="009A5F50" w:rsidRPr="00FC6630">
        <w:rPr>
          <w:rFonts w:cstheme="minorHAnsi"/>
          <w:bCs/>
        </w:rPr>
        <w:t xml:space="preserve">easibility </w:t>
      </w:r>
      <w:r w:rsidR="009B3223" w:rsidRPr="00FC6630">
        <w:rPr>
          <w:rFonts w:cstheme="minorHAnsi"/>
          <w:bCs/>
        </w:rPr>
        <w:t>a</w:t>
      </w:r>
      <w:r w:rsidR="009A5F50" w:rsidRPr="00FC6630">
        <w:rPr>
          <w:rFonts w:cstheme="minorHAnsi"/>
          <w:bCs/>
        </w:rPr>
        <w:t>ssessment</w:t>
      </w:r>
    </w:p>
    <w:p w14:paraId="4F7EF05B" w14:textId="19D9A993" w:rsidR="00157752" w:rsidRPr="00924852" w:rsidRDefault="00746729" w:rsidP="00230CCC">
      <w:pPr>
        <w:pStyle w:val="BulletLast"/>
        <w:rPr>
          <w:rStyle w:val="Hyperlink"/>
          <w:color w:val="000000"/>
          <w:u w:val="none"/>
        </w:rPr>
      </w:pPr>
      <w:r w:rsidRPr="00924852">
        <w:t>community consultation activities</w:t>
      </w:r>
      <w:r w:rsidR="009A5F50" w:rsidRPr="00924852">
        <w:t xml:space="preserve"> that would be described in the </w:t>
      </w:r>
      <w:r w:rsidR="00893238" w:rsidRPr="00924852">
        <w:t>NRP</w:t>
      </w:r>
      <w:r w:rsidR="009A5F50" w:rsidRPr="00924852">
        <w:t xml:space="preserve"> and supporting </w:t>
      </w:r>
      <w:r w:rsidR="00210EFF" w:rsidRPr="002207E2">
        <w:t>Communications</w:t>
      </w:r>
      <w:r w:rsidR="00882CF7" w:rsidRPr="002207E2">
        <w:t>,</w:t>
      </w:r>
      <w:r w:rsidR="00210EFF" w:rsidRPr="002207E2">
        <w:t xml:space="preserve"> </w:t>
      </w:r>
      <w:r w:rsidR="00946833" w:rsidRPr="002207E2">
        <w:t xml:space="preserve">Community Engagement and Media </w:t>
      </w:r>
      <w:r w:rsidR="00210EFF" w:rsidRPr="002207E2">
        <w:t>Plan</w:t>
      </w:r>
      <w:r w:rsidR="006C46D4" w:rsidRPr="002207E2">
        <w:t xml:space="preserve"> </w:t>
      </w:r>
      <w:r w:rsidR="00924852" w:rsidRPr="002207E2">
        <w:t>(se</w:t>
      </w:r>
      <w:r w:rsidR="00924852" w:rsidRPr="00924852">
        <w:t xml:space="preserve">e </w:t>
      </w:r>
      <w:r w:rsidR="006C46D4" w:rsidRPr="00924852">
        <w:t>Appendix</w:t>
      </w:r>
      <w:r w:rsidR="001F1066">
        <w:t> 5</w:t>
      </w:r>
      <w:r w:rsidR="00924852">
        <w:t>)</w:t>
      </w:r>
      <w:r w:rsidR="00F84FF6" w:rsidRPr="00924852">
        <w:rPr>
          <w:rStyle w:val="Hyperlink"/>
          <w:color w:val="000000"/>
          <w:u w:val="none"/>
        </w:rPr>
        <w:t>.</w:t>
      </w:r>
    </w:p>
    <w:p w14:paraId="58C6BDC9" w14:textId="36CA419B" w:rsidR="003A21CD" w:rsidRDefault="003A21CD" w:rsidP="00766FF7">
      <w:r w:rsidRPr="003A21CD">
        <w:lastRenderedPageBreak/>
        <w:t xml:space="preserve">SCC Planning will also produce a </w:t>
      </w:r>
      <w:bookmarkStart w:id="82" w:name="_Hlk527625011"/>
      <w:r w:rsidRPr="003A21CD">
        <w:t xml:space="preserve">State </w:t>
      </w:r>
      <w:r w:rsidR="002F27F3" w:rsidRPr="003A21CD">
        <w:t xml:space="preserve">Coordination </w:t>
      </w:r>
      <w:r w:rsidR="00497376">
        <w:t>P</w:t>
      </w:r>
      <w:r w:rsidR="002F27F3" w:rsidRPr="003A21CD">
        <w:t>lan</w:t>
      </w:r>
      <w:bookmarkEnd w:id="82"/>
      <w:r w:rsidR="002F27F3" w:rsidRPr="003A21CD">
        <w:t xml:space="preserve"> </w:t>
      </w:r>
      <w:r w:rsidRPr="003A21CD">
        <w:t>for the affected state</w:t>
      </w:r>
      <w:r w:rsidR="00B41D73">
        <w:t xml:space="preserve"> </w:t>
      </w:r>
      <w:r w:rsidR="004B291C">
        <w:t>or</w:t>
      </w:r>
      <w:r w:rsidR="00B41D73">
        <w:t xml:space="preserve"> </w:t>
      </w:r>
      <w:r w:rsidRPr="003A21CD">
        <w:t>territory</w:t>
      </w:r>
      <w:r w:rsidR="00924852">
        <w:t>,</w:t>
      </w:r>
      <w:r w:rsidRPr="003A21CD">
        <w:t xml:space="preserve"> to deliver consistency across all the agencies and other partners of the response</w:t>
      </w:r>
      <w:r w:rsidR="006D28FC">
        <w:t xml:space="preserve"> in the state</w:t>
      </w:r>
      <w:r w:rsidR="00B41D73">
        <w:t xml:space="preserve"> </w:t>
      </w:r>
      <w:r w:rsidR="004B291C">
        <w:t>or</w:t>
      </w:r>
      <w:r w:rsidR="00B41D73">
        <w:t xml:space="preserve"> </w:t>
      </w:r>
      <w:r w:rsidR="006D28FC">
        <w:t>territory</w:t>
      </w:r>
      <w:r w:rsidRPr="003A21CD">
        <w:t>.</w:t>
      </w:r>
      <w:r>
        <w:t xml:space="preserve"> The State Coordination Plan will usually be updated weekly </w:t>
      </w:r>
      <w:r w:rsidR="00924852">
        <w:t>or</w:t>
      </w:r>
      <w:r>
        <w:t xml:space="preserve"> monthly</w:t>
      </w:r>
      <w:r w:rsidR="00924852">
        <w:t xml:space="preserve">, </w:t>
      </w:r>
      <w:r>
        <w:t xml:space="preserve">depending on </w:t>
      </w:r>
      <w:r w:rsidR="00924852">
        <w:t xml:space="preserve">the </w:t>
      </w:r>
      <w:r>
        <w:t>response context.</w:t>
      </w:r>
    </w:p>
    <w:p w14:paraId="52C7BB0B" w14:textId="495971E6" w:rsidR="00E14083" w:rsidRPr="00E14083" w:rsidRDefault="00A80AEB" w:rsidP="00A80AEB">
      <w:pPr>
        <w:pStyle w:val="Heading2"/>
      </w:pPr>
      <w:bookmarkStart w:id="83" w:name="_Toc529783788"/>
      <w:r>
        <w:t>6.</w:t>
      </w:r>
      <w:r w:rsidR="001024D9">
        <w:t>4</w:t>
      </w:r>
      <w:r>
        <w:tab/>
      </w:r>
      <w:r w:rsidR="00E14083" w:rsidRPr="00E14083">
        <w:t>Region</w:t>
      </w:r>
      <w:r w:rsidR="00924852">
        <w:t>al</w:t>
      </w:r>
      <w:r w:rsidR="00B41D73">
        <w:t xml:space="preserve"> </w:t>
      </w:r>
      <w:r w:rsidR="006D7544">
        <w:t>and</w:t>
      </w:r>
      <w:r w:rsidR="00B41D73">
        <w:t xml:space="preserve"> </w:t>
      </w:r>
      <w:r w:rsidR="00232921">
        <w:t>l</w:t>
      </w:r>
      <w:r w:rsidR="00E14083" w:rsidRPr="00E14083">
        <w:t xml:space="preserve">ocal </w:t>
      </w:r>
      <w:r w:rsidR="007E52C0">
        <w:t>area</w:t>
      </w:r>
      <w:bookmarkEnd w:id="83"/>
      <w:r w:rsidR="007E52C0">
        <w:t xml:space="preserve"> </w:t>
      </w:r>
    </w:p>
    <w:p w14:paraId="4FC60F92" w14:textId="55665164" w:rsidR="006D28FC" w:rsidRDefault="003A21CD" w:rsidP="00766FF7">
      <w:pPr>
        <w:pStyle w:val="NormalBeforeBullet"/>
      </w:pPr>
      <w:r>
        <w:t xml:space="preserve">The </w:t>
      </w:r>
      <w:r w:rsidR="00924852">
        <w:t>Local Control Centre (</w:t>
      </w:r>
      <w:r>
        <w:t>LCC</w:t>
      </w:r>
      <w:r w:rsidR="00924852">
        <w:t>)</w:t>
      </w:r>
      <w:r>
        <w:t xml:space="preserve"> will operationalise the </w:t>
      </w:r>
      <w:r w:rsidR="00893238">
        <w:t>NRP</w:t>
      </w:r>
      <w:r>
        <w:t xml:space="preserve"> and State Coordination Plan with </w:t>
      </w:r>
      <w:r w:rsidR="00924852">
        <w:t xml:space="preserve">its </w:t>
      </w:r>
      <w:bookmarkStart w:id="84" w:name="_Hlk527625032"/>
      <w:r>
        <w:t>Incident Action Plan</w:t>
      </w:r>
      <w:bookmarkEnd w:id="84"/>
      <w:r>
        <w:t xml:space="preserve"> (IAP). The IAP format</w:t>
      </w:r>
      <w:r w:rsidR="006D28FC">
        <w:t xml:space="preserve"> </w:t>
      </w:r>
      <w:r>
        <w:t xml:space="preserve">is </w:t>
      </w:r>
      <w:r w:rsidR="00924852">
        <w:t xml:space="preserve">the same  as </w:t>
      </w:r>
      <w:r>
        <w:t xml:space="preserve">that used </w:t>
      </w:r>
      <w:r w:rsidR="00924852">
        <w:t>in</w:t>
      </w:r>
      <w:r>
        <w:t xml:space="preserve"> </w:t>
      </w:r>
      <w:r w:rsidR="00924852">
        <w:t xml:space="preserve">the </w:t>
      </w:r>
      <w:r w:rsidR="00924852" w:rsidRPr="000824B9">
        <w:t>Incident Control System</w:t>
      </w:r>
      <w:r w:rsidR="00924852" w:rsidDel="00924852">
        <w:t xml:space="preserve"> </w:t>
      </w:r>
      <w:r>
        <w:t xml:space="preserve">and </w:t>
      </w:r>
      <w:r w:rsidR="00924852">
        <w:t>the Biosecurity Incident Management System</w:t>
      </w:r>
      <w:r>
        <w:t>. The</w:t>
      </w:r>
      <w:r w:rsidR="00746C1D">
        <w:t xml:space="preserve"> </w:t>
      </w:r>
      <w:r w:rsidR="00924852">
        <w:t>‘</w:t>
      </w:r>
      <w:r w:rsidR="00746C1D">
        <w:t>SMEAC</w:t>
      </w:r>
      <w:r w:rsidR="0085208F">
        <w:t>S</w:t>
      </w:r>
      <w:r w:rsidR="00924852">
        <w:t>’</w:t>
      </w:r>
      <w:r w:rsidR="00746C1D">
        <w:t xml:space="preserve"> acronym is the basis for an</w:t>
      </w:r>
      <w:r>
        <w:t xml:space="preserve"> IAP</w:t>
      </w:r>
      <w:r w:rsidR="0085208F">
        <w:t>.</w:t>
      </w:r>
      <w:r w:rsidR="00746C1D">
        <w:t xml:space="preserve"> </w:t>
      </w:r>
      <w:r w:rsidR="00924852">
        <w:t xml:space="preserve">The IAP </w:t>
      </w:r>
      <w:r>
        <w:t>will detail</w:t>
      </w:r>
      <w:r w:rsidR="00013912">
        <w:t>:</w:t>
      </w:r>
      <w:r>
        <w:t xml:space="preserve"> </w:t>
      </w:r>
    </w:p>
    <w:p w14:paraId="6BDBB292" w14:textId="514D5F90" w:rsidR="006D28FC" w:rsidRPr="00FC6630" w:rsidRDefault="006D28FC" w:rsidP="00766FF7">
      <w:pPr>
        <w:pStyle w:val="Bullet"/>
      </w:pPr>
      <w:r w:rsidRPr="008E65F9">
        <w:rPr>
          <w:b/>
        </w:rPr>
        <w:t>Situation</w:t>
      </w:r>
      <w:r w:rsidRPr="00067884">
        <w:t xml:space="preserve"> of the operational period since the last IAP was issued</w:t>
      </w:r>
    </w:p>
    <w:p w14:paraId="708E5F37" w14:textId="6C68CD32" w:rsidR="006D28FC" w:rsidRPr="00FC6630" w:rsidRDefault="006D28FC" w:rsidP="00766FF7">
      <w:pPr>
        <w:pStyle w:val="Bullet"/>
      </w:pPr>
      <w:r w:rsidRPr="008E65F9">
        <w:rPr>
          <w:b/>
        </w:rPr>
        <w:t>Mission</w:t>
      </w:r>
      <w:r w:rsidRPr="00067884">
        <w:t xml:space="preserve"> described by the </w:t>
      </w:r>
      <w:r w:rsidR="00746C1D" w:rsidRPr="00FC6630">
        <w:t>a</w:t>
      </w:r>
      <w:r w:rsidRPr="00FC6630">
        <w:t>im and objectives in the NRP</w:t>
      </w:r>
    </w:p>
    <w:p w14:paraId="03CBCFE8" w14:textId="696D4ABA" w:rsidR="006D28FC" w:rsidRPr="00FC6630" w:rsidRDefault="006D28FC" w:rsidP="00766FF7">
      <w:pPr>
        <w:pStyle w:val="Bullet"/>
      </w:pPr>
      <w:r w:rsidRPr="008E65F9">
        <w:rPr>
          <w:b/>
        </w:rPr>
        <w:t>Execution</w:t>
      </w:r>
      <w:r w:rsidR="00924852" w:rsidRPr="008E65F9">
        <w:t>,</w:t>
      </w:r>
      <w:r w:rsidRPr="008E65F9">
        <w:t xml:space="preserve"> including </w:t>
      </w:r>
      <w:r w:rsidR="003A21CD" w:rsidRPr="008E65F9">
        <w:t>the spec</w:t>
      </w:r>
      <w:r w:rsidR="00055771" w:rsidRPr="008E65F9">
        <w:t>i</w:t>
      </w:r>
      <w:r w:rsidR="003A21CD" w:rsidRPr="008E65F9">
        <w:t>fic tasks and actions to deliver on the strateg</w:t>
      </w:r>
      <w:r w:rsidR="00234A79">
        <w:t>ies</w:t>
      </w:r>
      <w:r w:rsidR="003A21CD" w:rsidRPr="008E65F9">
        <w:t xml:space="preserve"> and</w:t>
      </w:r>
      <w:r w:rsidR="003A21CD" w:rsidRPr="00FC6630">
        <w:t xml:space="preserve"> tactics </w:t>
      </w:r>
      <w:r w:rsidR="00055771" w:rsidRPr="00FC6630">
        <w:t xml:space="preserve">described in the </w:t>
      </w:r>
      <w:r w:rsidR="00893238" w:rsidRPr="00FC6630">
        <w:t>NRP</w:t>
      </w:r>
      <w:r w:rsidR="0085208F" w:rsidRPr="00FC6630">
        <w:t xml:space="preserve"> (what, where, who, when)</w:t>
      </w:r>
    </w:p>
    <w:p w14:paraId="6FCB61D8" w14:textId="32476BE0" w:rsidR="006D28FC" w:rsidRPr="00067884" w:rsidRDefault="006D28FC" w:rsidP="00766FF7">
      <w:pPr>
        <w:pStyle w:val="Bullet"/>
      </w:pPr>
      <w:r w:rsidRPr="008E65F9">
        <w:rPr>
          <w:b/>
        </w:rPr>
        <w:t>Administration</w:t>
      </w:r>
      <w:r w:rsidRPr="00067884">
        <w:t xml:space="preserve"> tasks</w:t>
      </w:r>
      <w:r w:rsidR="008E65F9">
        <w:t>,</w:t>
      </w:r>
      <w:r w:rsidRPr="00067884">
        <w:t xml:space="preserve"> including internal and external logistics</w:t>
      </w:r>
    </w:p>
    <w:p w14:paraId="58CCA32B" w14:textId="676A5736" w:rsidR="006D28FC" w:rsidRPr="00067884" w:rsidRDefault="006D28FC" w:rsidP="00766FF7">
      <w:pPr>
        <w:pStyle w:val="Bullet"/>
      </w:pPr>
      <w:r w:rsidRPr="008E65F9">
        <w:rPr>
          <w:b/>
        </w:rPr>
        <w:t xml:space="preserve">Command and </w:t>
      </w:r>
      <w:r w:rsidR="008E65F9">
        <w:rPr>
          <w:b/>
        </w:rPr>
        <w:t>c</w:t>
      </w:r>
      <w:r w:rsidRPr="008E65F9">
        <w:rPr>
          <w:b/>
        </w:rPr>
        <w:t>ontrol</w:t>
      </w:r>
      <w:r w:rsidRPr="00067884">
        <w:t xml:space="preserve"> structure</w:t>
      </w:r>
      <w:r w:rsidR="008E65F9">
        <w:t>,</w:t>
      </w:r>
      <w:r w:rsidRPr="00067884">
        <w:t xml:space="preserve"> and who is </w:t>
      </w:r>
      <w:r w:rsidR="008E65F9">
        <w:t xml:space="preserve">in </w:t>
      </w:r>
      <w:r w:rsidRPr="00067884">
        <w:t>what role</w:t>
      </w:r>
    </w:p>
    <w:p w14:paraId="18BEC08D" w14:textId="2EBA0DD4" w:rsidR="00946833" w:rsidRPr="00C61934" w:rsidRDefault="00946833" w:rsidP="00230CCC">
      <w:pPr>
        <w:pStyle w:val="BulletLast"/>
      </w:pPr>
      <w:r w:rsidRPr="008E65F9">
        <w:rPr>
          <w:b/>
        </w:rPr>
        <w:t>Safety</w:t>
      </w:r>
      <w:r w:rsidR="00C61934" w:rsidRPr="00FC6630">
        <w:t xml:space="preserve"> system</w:t>
      </w:r>
      <w:r w:rsidR="00C61934" w:rsidRPr="00C61934">
        <w:rPr>
          <w:bCs/>
        </w:rPr>
        <w:t xml:space="preserve"> requirements</w:t>
      </w:r>
      <w:r w:rsidR="00F84FF6">
        <w:rPr>
          <w:bCs/>
        </w:rPr>
        <w:t>.</w:t>
      </w:r>
    </w:p>
    <w:p w14:paraId="2561943D" w14:textId="0776017B" w:rsidR="003965A0" w:rsidRDefault="003A21CD" w:rsidP="00766FF7">
      <w:r>
        <w:t xml:space="preserve">The IAP will initially be reviewed </w:t>
      </w:r>
      <w:r w:rsidR="002F26F9">
        <w:t>every</w:t>
      </w:r>
      <w:r>
        <w:t xml:space="preserve"> 1</w:t>
      </w:r>
      <w:r w:rsidR="008E65F9">
        <w:t>–</w:t>
      </w:r>
      <w:r>
        <w:t>3 days</w:t>
      </w:r>
      <w:r w:rsidR="00746C1D">
        <w:t>. A</w:t>
      </w:r>
      <w:r>
        <w:t>s the situation stabili</w:t>
      </w:r>
      <w:r w:rsidR="00746C1D">
        <w:t>s</w:t>
      </w:r>
      <w:r>
        <w:t>es</w:t>
      </w:r>
      <w:r w:rsidR="008E65F9">
        <w:t>,</w:t>
      </w:r>
      <w:r>
        <w:t xml:space="preserve"> </w:t>
      </w:r>
      <w:r w:rsidR="008E65F9">
        <w:t xml:space="preserve">the review period </w:t>
      </w:r>
      <w:r>
        <w:t>may extend to 1 week.</w:t>
      </w:r>
      <w:r w:rsidR="008E65F9">
        <w:t xml:space="preserve"> T</w:t>
      </w:r>
      <w:r>
        <w:t>he LCC will produc</w:t>
      </w:r>
      <w:r w:rsidR="0085208F">
        <w:t xml:space="preserve">e </w:t>
      </w:r>
      <w:r w:rsidR="008E65F9">
        <w:t>s</w:t>
      </w:r>
      <w:r w:rsidR="00497376">
        <w:t xml:space="preserve">itreps </w:t>
      </w:r>
      <w:r>
        <w:t>at about the same intervals.</w:t>
      </w:r>
    </w:p>
    <w:p w14:paraId="02637601" w14:textId="4A293E26" w:rsidR="009C20E6" w:rsidRPr="008D346B" w:rsidRDefault="009C20E6" w:rsidP="00766FF7">
      <w:r>
        <w:t xml:space="preserve">A </w:t>
      </w:r>
      <w:r w:rsidR="008D346B">
        <w:t>t</w:t>
      </w:r>
      <w:r>
        <w:t>emplate for an IAP is presented in Appendix</w:t>
      </w:r>
      <w:r w:rsidR="001F1066">
        <w:t> 6</w:t>
      </w:r>
      <w:r w:rsidR="008D346B" w:rsidRPr="00A81FA3">
        <w:t xml:space="preserve">. </w:t>
      </w:r>
      <w:r w:rsidR="008D346B" w:rsidRPr="008D346B">
        <w:t>The template is g</w:t>
      </w:r>
      <w:r w:rsidR="008D346B">
        <w:t>e</w:t>
      </w:r>
      <w:r w:rsidR="008D346B" w:rsidRPr="008D346B">
        <w:t xml:space="preserve">neric for use at </w:t>
      </w:r>
      <w:r w:rsidR="008D346B">
        <w:t>control</w:t>
      </w:r>
      <w:r w:rsidR="00B41D73">
        <w:t xml:space="preserve"> </w:t>
      </w:r>
      <w:r w:rsidR="007E52C0">
        <w:t>or</w:t>
      </w:r>
      <w:r w:rsidR="00B41D73">
        <w:t xml:space="preserve"> </w:t>
      </w:r>
      <w:r w:rsidR="00F6550E">
        <w:t>tactical level. The transformation of the template into an IAP will require a number of planning tasks</w:t>
      </w:r>
      <w:r w:rsidR="008E65F9">
        <w:t>,</w:t>
      </w:r>
      <w:r w:rsidR="00F6550E">
        <w:t xml:space="preserve"> such as situation assessment, risk assessment, appreciation </w:t>
      </w:r>
      <w:r w:rsidR="001F1066">
        <w:t>(see Appendix 3</w:t>
      </w:r>
      <w:r w:rsidR="00BF6217">
        <w:t xml:space="preserve">) </w:t>
      </w:r>
      <w:r w:rsidR="00F6550E">
        <w:t>and resource planning.</w:t>
      </w:r>
      <w:r w:rsidR="00232D2F">
        <w:t xml:space="preserve"> The template is a more developed version of that in the </w:t>
      </w:r>
      <w:r w:rsidR="006B552E" w:rsidRPr="006B552E">
        <w:rPr>
          <w:i/>
        </w:rPr>
        <w:t>Biosecurity emergency management – resp</w:t>
      </w:r>
      <w:r w:rsidR="00232D2F" w:rsidRPr="006B552E">
        <w:rPr>
          <w:i/>
        </w:rPr>
        <w:t xml:space="preserve">onse </w:t>
      </w:r>
      <w:r w:rsidR="006B552E" w:rsidRPr="006B552E">
        <w:rPr>
          <w:i/>
        </w:rPr>
        <w:t>p</w:t>
      </w:r>
      <w:r w:rsidR="00232D2F" w:rsidRPr="006B552E">
        <w:rPr>
          <w:i/>
        </w:rPr>
        <w:t>lannin</w:t>
      </w:r>
      <w:r w:rsidR="00AF6C0F" w:rsidRPr="006B552E">
        <w:rPr>
          <w:i/>
        </w:rPr>
        <w:t xml:space="preserve">g </w:t>
      </w:r>
      <w:r w:rsidR="006B552E" w:rsidRPr="006B552E">
        <w:rPr>
          <w:i/>
        </w:rPr>
        <w:t>g</w:t>
      </w:r>
      <w:r w:rsidR="00AF6C0F" w:rsidRPr="006B552E">
        <w:rPr>
          <w:i/>
        </w:rPr>
        <w:t>uide</w:t>
      </w:r>
      <w:r w:rsidR="00232D2F">
        <w:t>.</w:t>
      </w:r>
      <w:r w:rsidR="00927838">
        <w:rPr>
          <w:rStyle w:val="FootnoteReference"/>
        </w:rPr>
        <w:footnoteReference w:id="16"/>
      </w:r>
    </w:p>
    <w:p w14:paraId="2B80B138" w14:textId="312633F1" w:rsidR="002F27F3" w:rsidRPr="005E4F9B" w:rsidRDefault="00A80AEB" w:rsidP="00A80AEB">
      <w:pPr>
        <w:pStyle w:val="Heading2"/>
      </w:pPr>
      <w:bookmarkStart w:id="85" w:name="_Toc529783789"/>
      <w:r>
        <w:t>6.</w:t>
      </w:r>
      <w:r w:rsidR="001024D9">
        <w:t>5</w:t>
      </w:r>
      <w:r>
        <w:tab/>
      </w:r>
      <w:r w:rsidR="002F27F3" w:rsidRPr="005E4F9B">
        <w:t xml:space="preserve">Strategic </w:t>
      </w:r>
      <w:r w:rsidR="00232921">
        <w:t>r</w:t>
      </w:r>
      <w:r w:rsidR="002F27F3" w:rsidRPr="005E4F9B">
        <w:t xml:space="preserve">isk </w:t>
      </w:r>
      <w:r w:rsidR="00232921">
        <w:t>a</w:t>
      </w:r>
      <w:r w:rsidR="00E14083">
        <w:t>ssessment</w:t>
      </w:r>
      <w:bookmarkEnd w:id="85"/>
    </w:p>
    <w:p w14:paraId="0A30C225" w14:textId="1D33D11D" w:rsidR="00AD5D68" w:rsidRDefault="00AD5D68" w:rsidP="00766FF7">
      <w:r>
        <w:t xml:space="preserve">A strategic risk assessment </w:t>
      </w:r>
      <w:r w:rsidR="007F0786">
        <w:t>should</w:t>
      </w:r>
      <w:r>
        <w:t xml:space="preserve"> be undertaken early in the response to inform development of the</w:t>
      </w:r>
      <w:r w:rsidR="008414FC">
        <w:t xml:space="preserve"> </w:t>
      </w:r>
      <w:r w:rsidR="00893238">
        <w:t>NRP</w:t>
      </w:r>
      <w:r>
        <w:t xml:space="preserve">, </w:t>
      </w:r>
      <w:r w:rsidR="008E65F9">
        <w:t xml:space="preserve">a decision on </w:t>
      </w:r>
      <w:r w:rsidR="00497376">
        <w:t xml:space="preserve">eradicability of the EWD, </w:t>
      </w:r>
      <w:r>
        <w:t>selection of strateg</w:t>
      </w:r>
      <w:r w:rsidR="00234A79">
        <w:t>ies</w:t>
      </w:r>
      <w:r>
        <w:t xml:space="preserve"> and tactics, and key outputs such as Resource Plan</w:t>
      </w:r>
      <w:r w:rsidR="008E65F9">
        <w:t>;</w:t>
      </w:r>
      <w:r>
        <w:t xml:space="preserve"> Communications</w:t>
      </w:r>
      <w:r w:rsidR="00497376">
        <w:t>,</w:t>
      </w:r>
      <w:r>
        <w:t xml:space="preserve"> </w:t>
      </w:r>
      <w:r w:rsidR="00363BB8">
        <w:t xml:space="preserve">Community </w:t>
      </w:r>
      <w:r w:rsidR="00497376">
        <w:t xml:space="preserve">Engagement </w:t>
      </w:r>
      <w:r>
        <w:t>and Media Plan</w:t>
      </w:r>
      <w:r w:rsidR="008E65F9">
        <w:t>;</w:t>
      </w:r>
      <w:r>
        <w:t xml:space="preserve"> and budget. Treatments from the strategic risk assessment </w:t>
      </w:r>
      <w:r w:rsidR="00FB4A4B">
        <w:t>will</w:t>
      </w:r>
      <w:r>
        <w:t xml:space="preserve"> be reflected in the relevant plans and other outputs. </w:t>
      </w:r>
      <w:r w:rsidR="006C46D4">
        <w:t>Treatments will need to take account of compounding risks.</w:t>
      </w:r>
    </w:p>
    <w:p w14:paraId="4B50396E" w14:textId="276BA2BD" w:rsidR="00AD5D68" w:rsidRPr="00FC6630" w:rsidRDefault="007E52C0" w:rsidP="008E65F9">
      <w:pPr>
        <w:pStyle w:val="NormalBeforeBullet"/>
      </w:pPr>
      <w:r>
        <w:t>T</w:t>
      </w:r>
      <w:r w:rsidR="00363BB8">
        <w:t>he</w:t>
      </w:r>
      <w:r w:rsidR="00363BB8" w:rsidRPr="009744F7">
        <w:t xml:space="preserve"> </w:t>
      </w:r>
      <w:r w:rsidR="00363BB8">
        <w:t>risk assessment will consider the range of risk</w:t>
      </w:r>
      <w:r w:rsidR="00497376">
        <w:t>s</w:t>
      </w:r>
      <w:r w:rsidR="00363BB8">
        <w:t xml:space="preserve"> </w:t>
      </w:r>
      <w:r w:rsidR="008E65F9">
        <w:t xml:space="preserve">associated with </w:t>
      </w:r>
      <w:r w:rsidR="00363BB8">
        <w:t>the target EWD</w:t>
      </w:r>
      <w:r w:rsidR="008E65F9">
        <w:t>,</w:t>
      </w:r>
      <w:r w:rsidR="00363BB8">
        <w:t xml:space="preserve"> as required under the NEBRA. </w:t>
      </w:r>
      <w:r w:rsidR="00AD5D68">
        <w:t xml:space="preserve">The </w:t>
      </w:r>
      <w:r w:rsidR="00363BB8" w:rsidRPr="00067884">
        <w:t>key topics</w:t>
      </w:r>
      <w:r w:rsidR="00AD5D68" w:rsidRPr="00FC6630">
        <w:t xml:space="preserve"> </w:t>
      </w:r>
      <w:r w:rsidR="008E65F9">
        <w:t>(</w:t>
      </w:r>
      <w:r w:rsidR="00D724FC" w:rsidRPr="00FC6630">
        <w:t>in no priority order</w:t>
      </w:r>
      <w:r w:rsidR="008E65F9">
        <w:t>)</w:t>
      </w:r>
      <w:r w:rsidR="00D724FC" w:rsidRPr="00FC6630">
        <w:t xml:space="preserve"> to be included </w:t>
      </w:r>
      <w:r w:rsidR="00AD5D68" w:rsidRPr="00FC6630">
        <w:t xml:space="preserve">in a strategic risk </w:t>
      </w:r>
      <w:r w:rsidR="008E65F9">
        <w:t>assessment are</w:t>
      </w:r>
      <w:r w:rsidR="00013912" w:rsidRPr="00FC6630">
        <w:t>:</w:t>
      </w:r>
    </w:p>
    <w:p w14:paraId="7B1F2510" w14:textId="5CADE5B3" w:rsidR="00AD5D68" w:rsidRPr="00FC6630" w:rsidRDefault="008E65F9" w:rsidP="00766FF7">
      <w:pPr>
        <w:pStyle w:val="Bullet"/>
      </w:pPr>
      <w:r>
        <w:t>p</w:t>
      </w:r>
      <w:r w:rsidR="00AD5D68" w:rsidRPr="00FC6630">
        <w:t>olitical</w:t>
      </w:r>
      <w:r w:rsidR="00AD5D68" w:rsidRPr="00067884">
        <w:t xml:space="preserve"> risks</w:t>
      </w:r>
      <w:r>
        <w:t>,</w:t>
      </w:r>
      <w:r w:rsidR="00363BB8" w:rsidRPr="00FC6630">
        <w:t xml:space="preserve"> including those associated with the government </w:t>
      </w:r>
      <w:r w:rsidR="001E58E4" w:rsidRPr="00FC6630">
        <w:t>of</w:t>
      </w:r>
      <w:r w:rsidR="00363BB8" w:rsidRPr="00FC6630">
        <w:t xml:space="preserve"> the day and </w:t>
      </w:r>
      <w:r>
        <w:t>risks</w:t>
      </w:r>
      <w:r w:rsidRPr="00FC6630">
        <w:t xml:space="preserve"> </w:t>
      </w:r>
      <w:r w:rsidR="00363BB8" w:rsidRPr="00FC6630">
        <w:t>for larg</w:t>
      </w:r>
      <w:r w:rsidR="0085208F" w:rsidRPr="00FC6630">
        <w:t>e enterprises</w:t>
      </w:r>
      <w:r w:rsidR="00363BB8" w:rsidRPr="00FC6630">
        <w:t xml:space="preserve"> that have an ability to </w:t>
      </w:r>
      <w:r w:rsidR="00497376" w:rsidRPr="00FC6630">
        <w:t>influence</w:t>
      </w:r>
      <w:r w:rsidR="00363BB8" w:rsidRPr="00FC6630">
        <w:t xml:space="preserve"> the outcomes of a response</w:t>
      </w:r>
    </w:p>
    <w:p w14:paraId="3D125967" w14:textId="5FCD2765" w:rsidR="00AD5D68" w:rsidRPr="00FC6630" w:rsidRDefault="008E65F9" w:rsidP="00766FF7">
      <w:pPr>
        <w:pStyle w:val="Bullet"/>
      </w:pPr>
      <w:r>
        <w:t>e</w:t>
      </w:r>
      <w:r w:rsidR="00AD5D68" w:rsidRPr="00FC6630">
        <w:t>conomic</w:t>
      </w:r>
      <w:r w:rsidR="00AD5D68" w:rsidRPr="00067884">
        <w:t xml:space="preserve"> risks</w:t>
      </w:r>
      <w:r>
        <w:t>,</w:t>
      </w:r>
      <w:r w:rsidR="00AD5D68" w:rsidRPr="00067884">
        <w:t xml:space="preserve"> including response costs</w:t>
      </w:r>
      <w:r>
        <w:t>,</w:t>
      </w:r>
      <w:r w:rsidR="00AD5D68" w:rsidRPr="00067884">
        <w:t xml:space="preserve"> and economic</w:t>
      </w:r>
      <w:r w:rsidR="002B29EE" w:rsidRPr="00FC6630">
        <w:t xml:space="preserve"> and trade</w:t>
      </w:r>
      <w:r w:rsidR="00AD5D68" w:rsidRPr="00FC6630">
        <w:t xml:space="preserve"> impacts of the EWD</w:t>
      </w:r>
      <w:r w:rsidR="00497376" w:rsidRPr="00FC6630">
        <w:t xml:space="preserve"> and </w:t>
      </w:r>
      <w:r w:rsidR="0085208F" w:rsidRPr="00FC6630">
        <w:t>the response to</w:t>
      </w:r>
      <w:r w:rsidR="00497376" w:rsidRPr="00FC6630">
        <w:t xml:space="preserve"> the EWD</w:t>
      </w:r>
    </w:p>
    <w:p w14:paraId="20B30279" w14:textId="5C6D2BF3" w:rsidR="00AD5D68" w:rsidRPr="00FC6630" w:rsidRDefault="008E65F9" w:rsidP="00766FF7">
      <w:pPr>
        <w:pStyle w:val="Bullet"/>
      </w:pPr>
      <w:r>
        <w:t>e</w:t>
      </w:r>
      <w:r w:rsidR="00AD5D68" w:rsidRPr="00FC6630">
        <w:t>nvironmental</w:t>
      </w:r>
      <w:r w:rsidR="00AD5D68" w:rsidRPr="00067884">
        <w:t xml:space="preserve"> risks</w:t>
      </w:r>
      <w:r>
        <w:t>,</w:t>
      </w:r>
      <w:r w:rsidR="00AD5D68" w:rsidRPr="00067884">
        <w:t xml:space="preserve"> including impacts of the response activities and </w:t>
      </w:r>
      <w:r w:rsidR="000D660C" w:rsidRPr="00FC6630">
        <w:t>impacts</w:t>
      </w:r>
      <w:r w:rsidR="00AD5D68" w:rsidRPr="00FC6630">
        <w:t xml:space="preserve"> of the EWD in the absence of any response</w:t>
      </w:r>
    </w:p>
    <w:p w14:paraId="076DE2B5" w14:textId="633BF672" w:rsidR="00AD5D68" w:rsidRPr="00FC6630" w:rsidRDefault="008E65F9" w:rsidP="00766FF7">
      <w:pPr>
        <w:pStyle w:val="Bullet"/>
      </w:pPr>
      <w:r>
        <w:lastRenderedPageBreak/>
        <w:t>s</w:t>
      </w:r>
      <w:r w:rsidR="00AD5D68" w:rsidRPr="00FC6630">
        <w:t>ocial</w:t>
      </w:r>
      <w:r w:rsidR="00AD5D68" w:rsidRPr="00067884">
        <w:t xml:space="preserve"> risks</w:t>
      </w:r>
      <w:r>
        <w:t>,</w:t>
      </w:r>
      <w:r w:rsidR="00AD5D68" w:rsidRPr="00067884">
        <w:t xml:space="preserve"> including </w:t>
      </w:r>
      <w:r w:rsidR="00363BB8" w:rsidRPr="00FC6630">
        <w:t xml:space="preserve">social </w:t>
      </w:r>
      <w:r w:rsidR="00AD5D68" w:rsidRPr="00FC6630">
        <w:t>impacts of the EWD and response activities on communities and people</w:t>
      </w:r>
      <w:r w:rsidR="002F7D07" w:rsidRPr="00FC6630">
        <w:t>, and media and communications risks</w:t>
      </w:r>
    </w:p>
    <w:p w14:paraId="7578E890" w14:textId="22DFBD39" w:rsidR="00AD5D68" w:rsidRPr="00FC6630" w:rsidRDefault="008E65F9" w:rsidP="00766FF7">
      <w:pPr>
        <w:pStyle w:val="Bullet"/>
      </w:pPr>
      <w:r>
        <w:t>t</w:t>
      </w:r>
      <w:r w:rsidR="00AD5D68" w:rsidRPr="00FC6630">
        <w:t>echnical</w:t>
      </w:r>
      <w:r w:rsidR="00AD5D68" w:rsidRPr="00067884">
        <w:t xml:space="preserve"> risks</w:t>
      </w:r>
      <w:r>
        <w:t>,</w:t>
      </w:r>
      <w:r w:rsidR="00AD5D68" w:rsidRPr="00067884">
        <w:t xml:space="preserve"> including those </w:t>
      </w:r>
      <w:r w:rsidR="00363BB8" w:rsidRPr="00FC6630">
        <w:t xml:space="preserve">directly </w:t>
      </w:r>
      <w:r w:rsidR="00AD5D68" w:rsidRPr="00FC6630">
        <w:t>related to the EWD</w:t>
      </w:r>
      <w:r w:rsidR="00363BB8" w:rsidRPr="00FC6630">
        <w:t>, and those associated with the control measures</w:t>
      </w:r>
      <w:r>
        <w:t>,</w:t>
      </w:r>
      <w:r w:rsidR="00363BB8" w:rsidRPr="00FC6630">
        <w:t xml:space="preserve"> including strateg</w:t>
      </w:r>
      <w:r w:rsidR="00234A79">
        <w:t>ies</w:t>
      </w:r>
      <w:r w:rsidR="00363BB8" w:rsidRPr="00FC6630">
        <w:t xml:space="preserve"> and tactics</w:t>
      </w:r>
      <w:r w:rsidR="00497376" w:rsidRPr="00FC6630">
        <w:t>, and ability to detect and diagnose the EWD</w:t>
      </w:r>
    </w:p>
    <w:p w14:paraId="1BAD668B" w14:textId="2D72D964" w:rsidR="00AD5D68" w:rsidRPr="00FC6630" w:rsidRDefault="008E65F9" w:rsidP="00766FF7">
      <w:pPr>
        <w:pStyle w:val="Bullet"/>
      </w:pPr>
      <w:r>
        <w:t>o</w:t>
      </w:r>
      <w:r w:rsidR="00AD5D68" w:rsidRPr="00FC6630">
        <w:t>perational</w:t>
      </w:r>
      <w:r w:rsidR="00AD5D68" w:rsidRPr="00067884">
        <w:t xml:space="preserve"> risks</w:t>
      </w:r>
      <w:r>
        <w:t>,</w:t>
      </w:r>
      <w:r w:rsidR="00AD5D68" w:rsidRPr="00067884">
        <w:t xml:space="preserve"> including the risks around resourcing the response</w:t>
      </w:r>
      <w:r w:rsidR="0085208F" w:rsidRPr="00FC6630">
        <w:t>, work health and s</w:t>
      </w:r>
      <w:r w:rsidR="00363BB8" w:rsidRPr="00FC6630">
        <w:t xml:space="preserve">afety (WHS), </w:t>
      </w:r>
      <w:r w:rsidR="00234A79">
        <w:t xml:space="preserve">and </w:t>
      </w:r>
      <w:r w:rsidR="00363BB8" w:rsidRPr="00FC6630">
        <w:t>structures and systems of the response</w:t>
      </w:r>
    </w:p>
    <w:p w14:paraId="68DBF733" w14:textId="2A0AADB7" w:rsidR="00AD5D68" w:rsidRDefault="00234A79" w:rsidP="00230CCC">
      <w:pPr>
        <w:pStyle w:val="BulletLast"/>
      </w:pPr>
      <w:r>
        <w:t>l</w:t>
      </w:r>
      <w:r w:rsidR="00AD5D68" w:rsidRPr="00FC6630">
        <w:t>egal</w:t>
      </w:r>
      <w:r w:rsidR="00AD5D68">
        <w:t xml:space="preserve"> risks</w:t>
      </w:r>
      <w:r>
        <w:t>,</w:t>
      </w:r>
      <w:r w:rsidR="00AD5D68">
        <w:t xml:space="preserve"> including those relating to the legal authority to complete the </w:t>
      </w:r>
      <w:r w:rsidR="008414FC">
        <w:t>proposed response activities</w:t>
      </w:r>
      <w:r w:rsidR="00497376">
        <w:t xml:space="preserve">, and alignment between </w:t>
      </w:r>
      <w:r>
        <w:t xml:space="preserve">different pieces of </w:t>
      </w:r>
      <w:r w:rsidR="00497376">
        <w:t>legislation.</w:t>
      </w:r>
    </w:p>
    <w:p w14:paraId="1ABAB654" w14:textId="175738DD" w:rsidR="00363BB8" w:rsidRDefault="0085208F" w:rsidP="00766FF7">
      <w:r>
        <w:t>The strategic risk a</w:t>
      </w:r>
      <w:r w:rsidR="00363BB8">
        <w:t>ssessment will be reviewed at specified intervals</w:t>
      </w:r>
      <w:r w:rsidR="00234A79">
        <w:t>,</w:t>
      </w:r>
      <w:r w:rsidR="00363BB8">
        <w:t xml:space="preserve"> or when there is a change in context or a better understanding of the context.</w:t>
      </w:r>
    </w:p>
    <w:p w14:paraId="74699F47" w14:textId="082D3980" w:rsidR="00363BB8" w:rsidRDefault="00363BB8" w:rsidP="00766FF7">
      <w:r>
        <w:t xml:space="preserve">Tactical and </w:t>
      </w:r>
      <w:r w:rsidR="00772DAC">
        <w:t>task-based</w:t>
      </w:r>
      <w:r>
        <w:t xml:space="preserve"> risk assessment</w:t>
      </w:r>
      <w:r w:rsidR="00497376">
        <w:t>s</w:t>
      </w:r>
      <w:r w:rsidR="00234A79">
        <w:t>,</w:t>
      </w:r>
      <w:r>
        <w:t xml:space="preserve"> including for WHS</w:t>
      </w:r>
      <w:r w:rsidR="00234A79">
        <w:t>,</w:t>
      </w:r>
      <w:r>
        <w:t xml:space="preserve"> must also be developed and maintained to support a structured and systematic response.</w:t>
      </w:r>
    </w:p>
    <w:p w14:paraId="78C05CB3" w14:textId="24E3A141" w:rsidR="00363BB8" w:rsidRDefault="00363BB8" w:rsidP="00766FF7">
      <w:r>
        <w:t xml:space="preserve">A template </w:t>
      </w:r>
      <w:r w:rsidR="0085208F">
        <w:t>for a strategic risk a</w:t>
      </w:r>
      <w:r w:rsidR="00497376">
        <w:t xml:space="preserve">ssessment is presented in </w:t>
      </w:r>
      <w:r w:rsidR="00497376" w:rsidRPr="00A81FA3">
        <w:t>Appendix</w:t>
      </w:r>
      <w:r w:rsidR="001F1066">
        <w:t> 4</w:t>
      </w:r>
      <w:r w:rsidR="001B040B" w:rsidRPr="00A81FA3">
        <w:t>.</w:t>
      </w:r>
      <w:r w:rsidR="003841E8">
        <w:t xml:space="preserve"> The template includes some examples of risks and treatment for th</w:t>
      </w:r>
      <w:r w:rsidR="0064023C">
        <w:t>e</w:t>
      </w:r>
      <w:r w:rsidR="003841E8">
        <w:t>se risks. The content in the template is indicative only and will need to be contextu</w:t>
      </w:r>
      <w:r w:rsidR="000136F5">
        <w:t>a</w:t>
      </w:r>
      <w:r w:rsidR="003841E8">
        <w:t>lised to a response.</w:t>
      </w:r>
      <w:r w:rsidR="00093C90">
        <w:t xml:space="preserve"> It is not intended to be used as a checklist.</w:t>
      </w:r>
    </w:p>
    <w:p w14:paraId="4DDD0A9D" w14:textId="75A9D834" w:rsidR="004F3150" w:rsidRDefault="00A80AEB" w:rsidP="00A80AEB">
      <w:pPr>
        <w:pStyle w:val="Heading2"/>
      </w:pPr>
      <w:bookmarkStart w:id="86" w:name="_Toc529783790"/>
      <w:bookmarkStart w:id="87" w:name="_Hlk508711912"/>
      <w:r>
        <w:t>6.</w:t>
      </w:r>
      <w:r w:rsidR="001024D9">
        <w:t>6</w:t>
      </w:r>
      <w:r>
        <w:tab/>
      </w:r>
      <w:r w:rsidR="004F3150">
        <w:t>Options selection</w:t>
      </w:r>
      <w:r w:rsidR="00234A79">
        <w:t>,</w:t>
      </w:r>
      <w:r w:rsidR="004F3150">
        <w:t xml:space="preserve"> including s</w:t>
      </w:r>
      <w:r w:rsidR="004F3150" w:rsidRPr="005E4F9B">
        <w:t xml:space="preserve">trategies and </w:t>
      </w:r>
      <w:r w:rsidR="004F3150">
        <w:t>t</w:t>
      </w:r>
      <w:r w:rsidR="004F3150" w:rsidRPr="005E4F9B">
        <w:t>actics</w:t>
      </w:r>
      <w:bookmarkEnd w:id="86"/>
    </w:p>
    <w:bookmarkEnd w:id="87"/>
    <w:p w14:paraId="00075439" w14:textId="555FC2AE" w:rsidR="008414FC" w:rsidRPr="008C5A1E" w:rsidRDefault="008414FC" w:rsidP="00766FF7">
      <w:r w:rsidRPr="008C5A1E">
        <w:t xml:space="preserve">The selection of </w:t>
      </w:r>
      <w:r w:rsidR="000A6157">
        <w:t>options</w:t>
      </w:r>
      <w:r w:rsidR="00234A79">
        <w:t>,</w:t>
      </w:r>
      <w:r w:rsidR="000A6157">
        <w:t xml:space="preserve"> such as for </w:t>
      </w:r>
      <w:r w:rsidRPr="008C5A1E">
        <w:t>strateg</w:t>
      </w:r>
      <w:r w:rsidR="00234A79">
        <w:t>ies</w:t>
      </w:r>
      <w:r w:rsidRPr="008C5A1E">
        <w:t xml:space="preserve"> and tactics to control and manage an EWD with the aim to eradicate the EWD</w:t>
      </w:r>
      <w:r w:rsidR="00234A79">
        <w:t>,</w:t>
      </w:r>
      <w:r w:rsidRPr="008C5A1E">
        <w:t xml:space="preserve"> is likely to be more complex and dynamic than for production </w:t>
      </w:r>
      <w:r w:rsidR="000136F5">
        <w:t>animals</w:t>
      </w:r>
      <w:r w:rsidRPr="008C5A1E">
        <w:t xml:space="preserve">. The usual tactics </w:t>
      </w:r>
      <w:r w:rsidR="00946833">
        <w:t xml:space="preserve">for production animals </w:t>
      </w:r>
      <w:r w:rsidR="00234A79">
        <w:t xml:space="preserve">– </w:t>
      </w:r>
      <w:r w:rsidRPr="008C5A1E">
        <w:t>such as quarantine and movement control</w:t>
      </w:r>
      <w:r w:rsidR="00234A79">
        <w:t>s</w:t>
      </w:r>
      <w:r w:rsidR="00D80470">
        <w:t xml:space="preserve">, tracing and </w:t>
      </w:r>
      <w:r w:rsidR="00930472">
        <w:t>other</w:t>
      </w:r>
      <w:r w:rsidR="00234A79">
        <w:t xml:space="preserve"> tactics </w:t>
      </w:r>
      <w:r w:rsidR="00930472">
        <w:t xml:space="preserve">listed in </w:t>
      </w:r>
      <w:r w:rsidR="00234A79">
        <w:t xml:space="preserve">Section 6.1 – </w:t>
      </w:r>
      <w:r w:rsidRPr="008C5A1E">
        <w:t xml:space="preserve">may not be effective in the context of </w:t>
      </w:r>
      <w:r w:rsidR="00234A79">
        <w:t xml:space="preserve">an </w:t>
      </w:r>
      <w:r w:rsidRPr="008C5A1E">
        <w:t xml:space="preserve">EWD response. </w:t>
      </w:r>
    </w:p>
    <w:p w14:paraId="13B7616A" w14:textId="4ACB3E1D" w:rsidR="00B236F2" w:rsidRDefault="008414FC" w:rsidP="00766FF7">
      <w:r w:rsidRPr="008C5A1E">
        <w:t>The factors influencing the selection of</w:t>
      </w:r>
      <w:r w:rsidR="00946833">
        <w:t xml:space="preserve"> alternative</w:t>
      </w:r>
      <w:r w:rsidRPr="008C5A1E">
        <w:t xml:space="preserve"> strateg</w:t>
      </w:r>
      <w:r w:rsidR="00234A79">
        <w:t>ies</w:t>
      </w:r>
      <w:r w:rsidRPr="008C5A1E">
        <w:t xml:space="preserve"> and tactics are likely to be complex</w:t>
      </w:r>
      <w:r w:rsidR="0064023C">
        <w:t xml:space="preserve"> and </w:t>
      </w:r>
      <w:r w:rsidRPr="008C5A1E">
        <w:t>may require change</w:t>
      </w:r>
      <w:r w:rsidR="00234A79">
        <w:t xml:space="preserve"> as the response progresses</w:t>
      </w:r>
      <w:r w:rsidR="0064023C">
        <w:t>. T</w:t>
      </w:r>
      <w:r w:rsidRPr="008C5A1E">
        <w:t xml:space="preserve">ime and space </w:t>
      </w:r>
      <w:r w:rsidR="0064023C">
        <w:t xml:space="preserve">will be needed </w:t>
      </w:r>
      <w:r w:rsidRPr="008C5A1E">
        <w:t xml:space="preserve">to arrive at those that are likely to be effective. </w:t>
      </w:r>
      <w:r w:rsidR="00946833">
        <w:t xml:space="preserve">Some alternative tactics that may be applicable to a wildlife response are </w:t>
      </w:r>
      <w:r w:rsidR="00234A79">
        <w:t xml:space="preserve">listed </w:t>
      </w:r>
      <w:r w:rsidR="00946833">
        <w:t>in</w:t>
      </w:r>
      <w:r w:rsidR="00234A79">
        <w:t xml:space="preserve"> Section 6.1</w:t>
      </w:r>
      <w:r w:rsidR="00946833">
        <w:t>.</w:t>
      </w:r>
    </w:p>
    <w:p w14:paraId="79145B0E" w14:textId="140F6585" w:rsidR="008414FC" w:rsidRPr="008C5A1E" w:rsidRDefault="008414FC" w:rsidP="00766FF7">
      <w:r w:rsidRPr="008C5A1E">
        <w:t xml:space="preserve">Factors </w:t>
      </w:r>
      <w:r w:rsidR="00234A79">
        <w:t xml:space="preserve">that </w:t>
      </w:r>
      <w:r w:rsidR="00234A79" w:rsidRPr="008C5A1E">
        <w:t xml:space="preserve">are likely to </w:t>
      </w:r>
      <w:r w:rsidR="00234A79">
        <w:t>affect the selection of strategies</w:t>
      </w:r>
      <w:r w:rsidR="00234A79" w:rsidRPr="008C5A1E">
        <w:t xml:space="preserve"> and tactics </w:t>
      </w:r>
      <w:r w:rsidR="00234A79">
        <w:t>include</w:t>
      </w:r>
      <w:r w:rsidRPr="008C5A1E">
        <w:t xml:space="preserve"> </w:t>
      </w:r>
      <w:r w:rsidR="00F45494">
        <w:t xml:space="preserve">community and government support, </w:t>
      </w:r>
      <w:r w:rsidR="003841E8">
        <w:t xml:space="preserve">access to suitable resources and expertise, </w:t>
      </w:r>
      <w:r w:rsidRPr="008C5A1E">
        <w:t>season, weather, climate, population dynamics,</w:t>
      </w:r>
      <w:r w:rsidR="009E2E22" w:rsidRPr="008C5A1E">
        <w:t xml:space="preserve"> environment succession, number of host species, distribution of host species, threatened species status of </w:t>
      </w:r>
      <w:r w:rsidR="00234A79">
        <w:t xml:space="preserve">the </w:t>
      </w:r>
      <w:r w:rsidR="009E2E22" w:rsidRPr="008C5A1E">
        <w:t>host</w:t>
      </w:r>
      <w:r w:rsidR="00234A79">
        <w:t>,</w:t>
      </w:r>
      <w:r w:rsidR="009E2E22" w:rsidRPr="008C5A1E">
        <w:t xml:space="preserve"> and the ability </w:t>
      </w:r>
      <w:r w:rsidR="00946833">
        <w:t xml:space="preserve">to </w:t>
      </w:r>
      <w:r w:rsidR="009E2E22" w:rsidRPr="008C5A1E">
        <w:t xml:space="preserve">survey target populations. Factors that may indirectly affect the chosen tactics include </w:t>
      </w:r>
      <w:r w:rsidR="00946833">
        <w:t xml:space="preserve">an </w:t>
      </w:r>
      <w:r w:rsidR="007C7007" w:rsidRPr="008C5A1E">
        <w:t xml:space="preserve">ability to </w:t>
      </w:r>
      <w:r w:rsidR="00A24ADB">
        <w:t>sufficiently</w:t>
      </w:r>
      <w:r w:rsidR="007C7007" w:rsidRPr="008C5A1E">
        <w:t xml:space="preserve"> identify the </w:t>
      </w:r>
      <w:r w:rsidR="009E2E22" w:rsidRPr="008C5A1E">
        <w:t>EWD and the turnaround time for the identification.</w:t>
      </w:r>
      <w:r w:rsidR="00104866">
        <w:t xml:space="preserve"> The </w:t>
      </w:r>
      <w:r w:rsidR="00234A79">
        <w:t>World Organisation for Anim</w:t>
      </w:r>
      <w:r w:rsidR="0064023C">
        <w:t>al</w:t>
      </w:r>
      <w:r w:rsidR="00234A79">
        <w:t xml:space="preserve"> Health (</w:t>
      </w:r>
      <w:r w:rsidR="00104866">
        <w:t>OIE</w:t>
      </w:r>
      <w:r w:rsidR="00234A79">
        <w:t>)</w:t>
      </w:r>
      <w:r w:rsidR="00104866">
        <w:t xml:space="preserve"> </w:t>
      </w:r>
      <w:r w:rsidR="00104866" w:rsidRPr="00234A79">
        <w:rPr>
          <w:i/>
        </w:rPr>
        <w:t xml:space="preserve">Guidelines for </w:t>
      </w:r>
      <w:r w:rsidR="00234A79" w:rsidRPr="00234A79">
        <w:rPr>
          <w:i/>
        </w:rPr>
        <w:t>animal disease con</w:t>
      </w:r>
      <w:r w:rsidR="00104866" w:rsidRPr="00234A79">
        <w:rPr>
          <w:i/>
        </w:rPr>
        <w:t>trol</w:t>
      </w:r>
      <w:r w:rsidR="00234A79">
        <w:rPr>
          <w:rStyle w:val="FootnoteReference"/>
        </w:rPr>
        <w:footnoteReference w:id="17"/>
      </w:r>
      <w:r w:rsidR="00104866">
        <w:t xml:space="preserve"> includes a table of potential factors.</w:t>
      </w:r>
    </w:p>
    <w:p w14:paraId="12C99349" w14:textId="40457DC9" w:rsidR="009E2E22" w:rsidRPr="00FC6630" w:rsidRDefault="009E2E22" w:rsidP="00766FF7">
      <w:r w:rsidRPr="00FC6630">
        <w:t>Longer</w:t>
      </w:r>
      <w:r w:rsidR="00234A79">
        <w:t>-</w:t>
      </w:r>
      <w:r w:rsidRPr="00FC6630">
        <w:t xml:space="preserve">term tactics such as vaccination, genetic preservation of target hosts, or selective breeding may not be obvious initially but may become viable options as the context of the situation is better understood. Some of these </w:t>
      </w:r>
      <w:r w:rsidR="00D80470" w:rsidRPr="00FC6630">
        <w:t xml:space="preserve">alternative strategies and </w:t>
      </w:r>
      <w:r w:rsidRPr="00FC6630">
        <w:t>tactics are unlikely to be agreed to as response activities</w:t>
      </w:r>
      <w:r w:rsidR="00D80470" w:rsidRPr="00FC6630">
        <w:t xml:space="preserve"> covered by </w:t>
      </w:r>
      <w:r w:rsidR="00234A79">
        <w:t xml:space="preserve">the </w:t>
      </w:r>
      <w:r w:rsidR="00D80470" w:rsidRPr="00FC6630">
        <w:t>NEBRA</w:t>
      </w:r>
      <w:r w:rsidRPr="00FC6630">
        <w:t xml:space="preserve">. </w:t>
      </w:r>
      <w:r w:rsidRPr="00067884">
        <w:t xml:space="preserve">These tactics are likely to be considered as </w:t>
      </w:r>
      <w:r w:rsidR="00234A79">
        <w:t>transition-to-management</w:t>
      </w:r>
      <w:r w:rsidR="00234A79" w:rsidRPr="00067884">
        <w:t xml:space="preserve"> </w:t>
      </w:r>
      <w:r w:rsidRPr="00067884">
        <w:t>or recovery</w:t>
      </w:r>
      <w:r w:rsidR="00A01450" w:rsidRPr="00FC6630">
        <w:t xml:space="preserve"> </w:t>
      </w:r>
      <w:r w:rsidR="00234A79">
        <w:t xml:space="preserve">actions </w:t>
      </w:r>
      <w:r w:rsidR="00A01450" w:rsidRPr="00FC6630">
        <w:t xml:space="preserve">and therefore would </w:t>
      </w:r>
      <w:r w:rsidR="007505A5" w:rsidRPr="00FC6630">
        <w:t xml:space="preserve">currently </w:t>
      </w:r>
      <w:r w:rsidR="00A01450" w:rsidRPr="00FC6630">
        <w:t>not qualify for funding under the NEBRA</w:t>
      </w:r>
      <w:r w:rsidRPr="00FC6630">
        <w:t>.</w:t>
      </w:r>
    </w:p>
    <w:p w14:paraId="7BED8730" w14:textId="4B871D92" w:rsidR="00AC3281" w:rsidRPr="00D80470" w:rsidRDefault="008C5A1E" w:rsidP="00766FF7">
      <w:r w:rsidRPr="00D80470">
        <w:lastRenderedPageBreak/>
        <w:t>The selection of strateg</w:t>
      </w:r>
      <w:r w:rsidR="00234A79">
        <w:t>ies</w:t>
      </w:r>
      <w:r w:rsidRPr="00D80470">
        <w:t xml:space="preserve"> and tactics </w:t>
      </w:r>
      <w:r w:rsidR="00FB4A4B" w:rsidRPr="00D80470">
        <w:t>will</w:t>
      </w:r>
      <w:r w:rsidR="00772831">
        <w:t xml:space="preserve"> be supported by the s</w:t>
      </w:r>
      <w:r w:rsidRPr="00D80470">
        <w:t xml:space="preserve">trategic </w:t>
      </w:r>
      <w:r w:rsidR="00772831">
        <w:t>r</w:t>
      </w:r>
      <w:r w:rsidRPr="00D80470">
        <w:t>isk</w:t>
      </w:r>
      <w:r w:rsidR="00772831">
        <w:t xml:space="preserve"> a</w:t>
      </w:r>
      <w:r w:rsidR="003841E8">
        <w:t>ssessment</w:t>
      </w:r>
      <w:r w:rsidRPr="00D80470">
        <w:t xml:space="preserve">, and </w:t>
      </w:r>
      <w:r w:rsidR="00D80470">
        <w:t xml:space="preserve">an </w:t>
      </w:r>
      <w:r w:rsidR="00772831">
        <w:t>a</w:t>
      </w:r>
      <w:r w:rsidRPr="00D80470">
        <w:t xml:space="preserve">ppreciation. Appreciations are likely to be needed for </w:t>
      </w:r>
      <w:r w:rsidR="00BC2E0B">
        <w:t>identifying different</w:t>
      </w:r>
      <w:r w:rsidRPr="00D80470">
        <w:t xml:space="preserve"> tactics </w:t>
      </w:r>
      <w:r w:rsidR="00234A79">
        <w:t>(</w:t>
      </w:r>
      <w:r w:rsidRPr="00D80470">
        <w:t>eg</w:t>
      </w:r>
      <w:r w:rsidR="00234A79">
        <w:t> </w:t>
      </w:r>
      <w:r w:rsidRPr="00D80470">
        <w:t>movement control measures</w:t>
      </w:r>
      <w:r w:rsidR="00234A79">
        <w:t>)</w:t>
      </w:r>
      <w:r w:rsidRPr="00D80470">
        <w:t xml:space="preserve"> as well as comparing strategic options </w:t>
      </w:r>
      <w:r w:rsidR="00234A79">
        <w:t>(</w:t>
      </w:r>
      <w:r w:rsidRPr="00D80470">
        <w:t>eg</w:t>
      </w:r>
      <w:r w:rsidR="00234A79">
        <w:t> </w:t>
      </w:r>
      <w:r w:rsidRPr="00D80470">
        <w:t xml:space="preserve">eradication </w:t>
      </w:r>
      <w:r w:rsidR="00234A79">
        <w:t>versus</w:t>
      </w:r>
      <w:r w:rsidRPr="00D80470">
        <w:t xml:space="preserve"> management or vaccination</w:t>
      </w:r>
      <w:r w:rsidR="00234A79">
        <w:t>)</w:t>
      </w:r>
      <w:r w:rsidRPr="00D80470">
        <w:t>.</w:t>
      </w:r>
    </w:p>
    <w:p w14:paraId="2A7B5D4D" w14:textId="53A28AB5" w:rsidR="004504B2" w:rsidRPr="00EE1D97" w:rsidRDefault="00D80470" w:rsidP="00766FF7">
      <w:pPr>
        <w:rPr>
          <w:b/>
        </w:rPr>
      </w:pPr>
      <w:r w:rsidRPr="00D80470">
        <w:t xml:space="preserve">A </w:t>
      </w:r>
      <w:r>
        <w:t xml:space="preserve">template for an appreciation and guidelines for development </w:t>
      </w:r>
      <w:r w:rsidR="0064023C">
        <w:t xml:space="preserve">are </w:t>
      </w:r>
      <w:r>
        <w:t xml:space="preserve">presented in </w:t>
      </w:r>
      <w:r w:rsidRPr="00371CD0">
        <w:t>Appendix</w:t>
      </w:r>
      <w:r w:rsidR="001F1066">
        <w:t> 3</w:t>
      </w:r>
      <w:r w:rsidRPr="00FF4FD3">
        <w:t>.</w:t>
      </w:r>
      <w:r w:rsidR="00745682" w:rsidRPr="00FF4FD3">
        <w:t xml:space="preserve"> </w:t>
      </w:r>
      <w:r w:rsidR="00745682">
        <w:t>The AUSVETPLAN framework provides additional information that may assist in decision making regarding tactics and strateg</w:t>
      </w:r>
      <w:r w:rsidR="005D5EA0">
        <w:t>ies</w:t>
      </w:r>
      <w:r w:rsidR="00745682">
        <w:t xml:space="preserve"> for rare and valuable </w:t>
      </w:r>
      <w:r w:rsidR="00EE1D97">
        <w:t xml:space="preserve">captive </w:t>
      </w:r>
      <w:r w:rsidR="00745682">
        <w:t>animals (</w:t>
      </w:r>
      <w:r w:rsidR="00745682" w:rsidRPr="00AF00AF">
        <w:t>AHA</w:t>
      </w:r>
      <w:r w:rsidR="00745682">
        <w:t xml:space="preserve"> 2016). </w:t>
      </w:r>
    </w:p>
    <w:p w14:paraId="62684927" w14:textId="77E73958" w:rsidR="00AC3281" w:rsidRPr="00677615" w:rsidRDefault="00A80AEB" w:rsidP="00A80AEB">
      <w:pPr>
        <w:pStyle w:val="Heading1"/>
      </w:pPr>
      <w:bookmarkStart w:id="88" w:name="_Toc529783791"/>
      <w:r>
        <w:lastRenderedPageBreak/>
        <w:t>7</w:t>
      </w:r>
      <w:r>
        <w:tab/>
      </w:r>
      <w:r w:rsidR="00AC3281" w:rsidRPr="00677615">
        <w:t xml:space="preserve">Information </w:t>
      </w:r>
      <w:r w:rsidR="00232921">
        <w:t>m</w:t>
      </w:r>
      <w:r w:rsidR="00AC3281" w:rsidRPr="00677615">
        <w:t>anagement</w:t>
      </w:r>
      <w:bookmarkEnd w:id="88"/>
    </w:p>
    <w:p w14:paraId="5B96D1B6" w14:textId="3D62DAF8" w:rsidR="00B26E69" w:rsidRPr="00FC6630" w:rsidRDefault="0088623B" w:rsidP="00766FF7">
      <w:r w:rsidRPr="00067884">
        <w:t xml:space="preserve">Information during a response is likely to be unreliable, </w:t>
      </w:r>
      <w:r w:rsidR="00882CF7">
        <w:t>in</w:t>
      </w:r>
      <w:r w:rsidRPr="00067884">
        <w:t xml:space="preserve">complete, not </w:t>
      </w:r>
      <w:r w:rsidR="00BD25DB">
        <w:t xml:space="preserve">validated </w:t>
      </w:r>
      <w:r w:rsidRPr="00067884">
        <w:t>or poorly validated</w:t>
      </w:r>
      <w:r w:rsidR="00BD25DB">
        <w:t>,</w:t>
      </w:r>
      <w:r w:rsidRPr="00067884">
        <w:t xml:space="preserve"> and </w:t>
      </w:r>
      <w:r w:rsidR="00B26E69" w:rsidRPr="00FC6630">
        <w:t>rarely</w:t>
      </w:r>
      <w:r w:rsidR="00424273" w:rsidRPr="00FC6630">
        <w:t xml:space="preserve"> timely. </w:t>
      </w:r>
      <w:r w:rsidR="00677615" w:rsidRPr="00FC6630">
        <w:t xml:space="preserve">Information systems must be deployed and used from the first investigation of a response </w:t>
      </w:r>
      <w:r w:rsidR="00BD25DB">
        <w:t xml:space="preserve">– that is, </w:t>
      </w:r>
      <w:r w:rsidR="00677615" w:rsidRPr="00FC6630">
        <w:t xml:space="preserve">during the </w:t>
      </w:r>
      <w:r w:rsidR="00BD25DB">
        <w:t>i</w:t>
      </w:r>
      <w:r w:rsidR="00677615" w:rsidRPr="00FC6630">
        <w:t>nvestigation</w:t>
      </w:r>
      <w:r w:rsidR="00253416" w:rsidRPr="00FC6630">
        <w:t xml:space="preserve"> </w:t>
      </w:r>
      <w:r w:rsidR="00D65380" w:rsidRPr="00FC6630">
        <w:t>and</w:t>
      </w:r>
      <w:r w:rsidR="00253416" w:rsidRPr="00FC6630">
        <w:t xml:space="preserve"> </w:t>
      </w:r>
      <w:r w:rsidR="00BD25DB">
        <w:t>a</w:t>
      </w:r>
      <w:r w:rsidR="00253416" w:rsidRPr="00FC6630">
        <w:t>lert</w:t>
      </w:r>
      <w:r w:rsidR="00677615" w:rsidRPr="00FC6630">
        <w:t xml:space="preserve"> phase</w:t>
      </w:r>
      <w:r w:rsidR="00677615" w:rsidRPr="00067884">
        <w:t xml:space="preserve">. </w:t>
      </w:r>
    </w:p>
    <w:p w14:paraId="28569E10" w14:textId="14773663" w:rsidR="00677615" w:rsidRPr="00424273" w:rsidRDefault="00677615" w:rsidP="00766FF7">
      <w:pPr>
        <w:pStyle w:val="NormalBeforeBullet"/>
      </w:pPr>
      <w:r w:rsidRPr="00424273">
        <w:t>The</w:t>
      </w:r>
      <w:r w:rsidR="00B26E69">
        <w:t xml:space="preserve"> </w:t>
      </w:r>
      <w:r w:rsidRPr="00424273">
        <w:t xml:space="preserve">information management systems that </w:t>
      </w:r>
      <w:r w:rsidR="00B26E69">
        <w:t xml:space="preserve">are the minimum to </w:t>
      </w:r>
      <w:r w:rsidRPr="00424273">
        <w:t xml:space="preserve">support </w:t>
      </w:r>
      <w:r w:rsidR="003841E8">
        <w:t xml:space="preserve">good </w:t>
      </w:r>
      <w:r w:rsidRPr="00424273">
        <w:t>decision making, reporting, situational awareness</w:t>
      </w:r>
      <w:r w:rsidR="00BD25DB">
        <w:t>,</w:t>
      </w:r>
      <w:r w:rsidRPr="00424273">
        <w:t xml:space="preserve"> and scrutiny </w:t>
      </w:r>
      <w:r w:rsidR="003841E8">
        <w:t>by</w:t>
      </w:r>
      <w:r w:rsidRPr="00424273">
        <w:t xml:space="preserve"> reviews and inquiries are</w:t>
      </w:r>
      <w:r w:rsidR="00013912">
        <w:t>:</w:t>
      </w:r>
      <w:r w:rsidRPr="00424273">
        <w:t xml:space="preserve"> </w:t>
      </w:r>
    </w:p>
    <w:p w14:paraId="19D62C23" w14:textId="117F8C09" w:rsidR="00677615" w:rsidRPr="00424273" w:rsidRDefault="00BD25DB" w:rsidP="00766FF7">
      <w:pPr>
        <w:pStyle w:val="Bullet"/>
      </w:pPr>
      <w:r>
        <w:t>c</w:t>
      </w:r>
      <w:r w:rsidR="00677615" w:rsidRPr="00424273">
        <w:t xml:space="preserve">ase </w:t>
      </w:r>
      <w:r>
        <w:t>m</w:t>
      </w:r>
      <w:r w:rsidR="00677615" w:rsidRPr="00424273">
        <w:t xml:space="preserve">anagement </w:t>
      </w:r>
      <w:r>
        <w:t>s</w:t>
      </w:r>
      <w:r w:rsidR="00677615" w:rsidRPr="00424273">
        <w:t xml:space="preserve">ystem that is used </w:t>
      </w:r>
      <w:r w:rsidR="00B26E69">
        <w:t xml:space="preserve">for the </w:t>
      </w:r>
      <w:r w:rsidR="00677615" w:rsidRPr="00424273">
        <w:t xml:space="preserve">information about </w:t>
      </w:r>
      <w:r w:rsidR="00677615" w:rsidRPr="00EE1D97">
        <w:rPr>
          <w:b/>
        </w:rPr>
        <w:t>all</w:t>
      </w:r>
      <w:r w:rsidR="00677615" w:rsidRPr="00424273">
        <w:t xml:space="preserve"> cases of a response</w:t>
      </w:r>
    </w:p>
    <w:p w14:paraId="5E4C9B4F" w14:textId="47055D3A" w:rsidR="00677615" w:rsidRPr="00424273" w:rsidRDefault="00BD25DB" w:rsidP="00766FF7">
      <w:pPr>
        <w:pStyle w:val="Bullet"/>
      </w:pPr>
      <w:r>
        <w:t>r</w:t>
      </w:r>
      <w:r w:rsidR="00677615" w:rsidRPr="00424273">
        <w:t xml:space="preserve">esource </w:t>
      </w:r>
      <w:r>
        <w:t>m</w:t>
      </w:r>
      <w:r w:rsidR="00677615" w:rsidRPr="00424273">
        <w:t xml:space="preserve">anagement </w:t>
      </w:r>
      <w:r>
        <w:t>p</w:t>
      </w:r>
      <w:r w:rsidR="002A4677">
        <w:t>ackage</w:t>
      </w:r>
      <w:r w:rsidR="00677615" w:rsidRPr="00424273">
        <w:t xml:space="preserve"> that</w:t>
      </w:r>
      <w:r w:rsidR="00424273" w:rsidRPr="00424273">
        <w:t xml:space="preserve"> </w:t>
      </w:r>
      <w:r w:rsidR="00B26E69">
        <w:t xml:space="preserve">manages the </w:t>
      </w:r>
      <w:r w:rsidR="00424273" w:rsidRPr="00424273">
        <w:t xml:space="preserve">information relating to </w:t>
      </w:r>
      <w:r w:rsidR="00B26E69">
        <w:t xml:space="preserve">the response </w:t>
      </w:r>
      <w:r w:rsidR="00424273" w:rsidRPr="00424273">
        <w:t>resources</w:t>
      </w:r>
      <w:r>
        <w:t>,</w:t>
      </w:r>
      <w:r w:rsidR="00424273" w:rsidRPr="00424273">
        <w:t xml:space="preserve"> including personnel</w:t>
      </w:r>
    </w:p>
    <w:p w14:paraId="6C6972E3" w14:textId="1B01DC0D" w:rsidR="00424273" w:rsidRPr="00424273" w:rsidRDefault="00BD25DB" w:rsidP="00766FF7">
      <w:pPr>
        <w:pStyle w:val="Bullet"/>
      </w:pPr>
      <w:r>
        <w:t>r</w:t>
      </w:r>
      <w:r w:rsidR="00424273" w:rsidRPr="00424273">
        <w:t xml:space="preserve">ecords </w:t>
      </w:r>
      <w:r>
        <w:t>m</w:t>
      </w:r>
      <w:r w:rsidR="00424273" w:rsidRPr="00424273">
        <w:t xml:space="preserve">anagement </w:t>
      </w:r>
      <w:r>
        <w:t>s</w:t>
      </w:r>
      <w:r w:rsidR="00424273" w:rsidRPr="00424273">
        <w:t>ystems for all electronic and hard</w:t>
      </w:r>
      <w:r>
        <w:t>-</w:t>
      </w:r>
      <w:r w:rsidR="00424273" w:rsidRPr="00424273">
        <w:t>copy records of the response</w:t>
      </w:r>
    </w:p>
    <w:p w14:paraId="22090B52" w14:textId="46EA0946" w:rsidR="00424273" w:rsidRPr="00424273" w:rsidRDefault="00BD25DB" w:rsidP="00230CCC">
      <w:pPr>
        <w:pStyle w:val="BulletLast"/>
      </w:pPr>
      <w:r>
        <w:t>f</w:t>
      </w:r>
      <w:r w:rsidR="00424273" w:rsidRPr="00424273">
        <w:t xml:space="preserve">inancial </w:t>
      </w:r>
      <w:r>
        <w:t>m</w:t>
      </w:r>
      <w:r w:rsidR="00424273" w:rsidRPr="00424273">
        <w:t xml:space="preserve">anagement </w:t>
      </w:r>
      <w:r>
        <w:t>s</w:t>
      </w:r>
      <w:r w:rsidR="00424273" w:rsidRPr="00424273">
        <w:t>ystem for all figures relating to costs, expenditure, budgets</w:t>
      </w:r>
      <w:r>
        <w:t>,</w:t>
      </w:r>
      <w:r w:rsidR="00F70137">
        <w:t xml:space="preserve"> and accounts receivable and payable</w:t>
      </w:r>
      <w:r w:rsidR="00424273" w:rsidRPr="00424273">
        <w:t>.</w:t>
      </w:r>
    </w:p>
    <w:p w14:paraId="4DEC0F98" w14:textId="6ADAECEB" w:rsidR="004504B2" w:rsidRDefault="00424273" w:rsidP="00766FF7">
      <w:r>
        <w:t xml:space="preserve">Each of these systems </w:t>
      </w:r>
      <w:r w:rsidR="00FB4A4B">
        <w:t>will</w:t>
      </w:r>
      <w:r>
        <w:t xml:space="preserve"> collect, collate, analyse and report relevant information in a structured and systematic way. A simple </w:t>
      </w:r>
      <w:r w:rsidR="00BD25DB">
        <w:t xml:space="preserve">Excel </w:t>
      </w:r>
      <w:r>
        <w:t xml:space="preserve">spreadsheet will not be sufficient. The </w:t>
      </w:r>
      <w:r w:rsidR="00C64CEE">
        <w:t>i</w:t>
      </w:r>
      <w:r>
        <w:t>nformation systems</w:t>
      </w:r>
      <w:r w:rsidR="0064023C">
        <w:t>,</w:t>
      </w:r>
      <w:r>
        <w:t xml:space="preserve"> supported by appropriate business rules</w:t>
      </w:r>
      <w:r w:rsidR="0064023C">
        <w:t>,</w:t>
      </w:r>
      <w:r>
        <w:t xml:space="preserve"> work to deliver consistency in a context </w:t>
      </w:r>
      <w:r w:rsidR="00BD25DB">
        <w:t>of</w:t>
      </w:r>
      <w:r>
        <w:t xml:space="preserve"> ever</w:t>
      </w:r>
      <w:r w:rsidR="00BD25DB">
        <w:t>-</w:t>
      </w:r>
      <w:r>
        <w:t>changing variables</w:t>
      </w:r>
      <w:r w:rsidR="00BD25DB">
        <w:t>,</w:t>
      </w:r>
      <w:r>
        <w:t xml:space="preserve"> such </w:t>
      </w:r>
      <w:r w:rsidR="00BD25DB">
        <w:t xml:space="preserve">as </w:t>
      </w:r>
      <w:r w:rsidR="00772831">
        <w:t>reports</w:t>
      </w:r>
      <w:r w:rsidR="00C64CEE">
        <w:t xml:space="preserve"> resulting from field operations</w:t>
      </w:r>
      <w:r w:rsidR="00BD25DB">
        <w:t>;</w:t>
      </w:r>
      <w:r w:rsidR="00C64CEE">
        <w:t xml:space="preserve"> </w:t>
      </w:r>
      <w:r>
        <w:t xml:space="preserve">personnel from more than </w:t>
      </w:r>
      <w:r w:rsidR="003841E8">
        <w:t>one</w:t>
      </w:r>
      <w:r>
        <w:t xml:space="preserve"> agency</w:t>
      </w:r>
      <w:r w:rsidR="00772831">
        <w:t xml:space="preserve"> and organisation</w:t>
      </w:r>
      <w:r w:rsidR="00BD25DB">
        <w:t>;</w:t>
      </w:r>
      <w:r>
        <w:t xml:space="preserve"> the changing of personnel in a role</w:t>
      </w:r>
      <w:r w:rsidR="00BD25DB">
        <w:t>;</w:t>
      </w:r>
      <w:r w:rsidR="00C64CEE">
        <w:t xml:space="preserve"> multiple points of information collection, collation and interpretation</w:t>
      </w:r>
      <w:r w:rsidR="00BD25DB">
        <w:t>;</w:t>
      </w:r>
      <w:r>
        <w:t xml:space="preserve"> and the lengthy period of most responses.</w:t>
      </w:r>
      <w:r w:rsidR="002B3FCC">
        <w:t xml:space="preserve"> </w:t>
      </w:r>
      <w:r w:rsidR="00C64CEE" w:rsidRPr="002369C2">
        <w:t>Information systems are among the systems presented in Appendix</w:t>
      </w:r>
      <w:r w:rsidR="001F1066">
        <w:t> 7</w:t>
      </w:r>
      <w:r w:rsidR="00BD25DB">
        <w:t xml:space="preserve">, which </w:t>
      </w:r>
      <w:r w:rsidR="00C64CEE" w:rsidRPr="002369C2">
        <w:t xml:space="preserve">shows the typical outputs </w:t>
      </w:r>
      <w:r w:rsidR="003841E8">
        <w:t>of</w:t>
      </w:r>
      <w:r w:rsidR="00C64CEE" w:rsidRPr="002369C2">
        <w:t xml:space="preserve"> response system</w:t>
      </w:r>
      <w:r w:rsidR="003841E8">
        <w:t>s</w:t>
      </w:r>
      <w:r w:rsidR="00C64CEE" w:rsidRPr="002369C2">
        <w:t>, the outcomes from deploying each system</w:t>
      </w:r>
      <w:r w:rsidR="00BD25DB">
        <w:t>,</w:t>
      </w:r>
      <w:r w:rsidR="00C64CEE" w:rsidRPr="002369C2">
        <w:t xml:space="preserve"> and the functional area</w:t>
      </w:r>
      <w:r w:rsidR="00B41D73">
        <w:t xml:space="preserve"> </w:t>
      </w:r>
      <w:r w:rsidR="00BD25DB">
        <w:t>or</w:t>
      </w:r>
      <w:r w:rsidR="00B41D73">
        <w:t xml:space="preserve"> </w:t>
      </w:r>
      <w:r w:rsidR="00C64CEE" w:rsidRPr="002369C2">
        <w:t>role responsible for each system.</w:t>
      </w:r>
    </w:p>
    <w:p w14:paraId="3B77BC9A" w14:textId="5C4112A4" w:rsidR="00D97D86" w:rsidRPr="00D51485" w:rsidRDefault="00D97D86" w:rsidP="00D97D86">
      <w:pPr>
        <w:pStyle w:val="Heading2"/>
      </w:pPr>
      <w:bookmarkStart w:id="89" w:name="_Toc529783792"/>
      <w:r>
        <w:t>7.1</w:t>
      </w:r>
      <w:r>
        <w:tab/>
      </w:r>
      <w:r w:rsidRPr="00D51485">
        <w:t>Reporting</w:t>
      </w:r>
      <w:bookmarkEnd w:id="89"/>
      <w:r w:rsidRPr="00D51485">
        <w:t xml:space="preserve"> </w:t>
      </w:r>
    </w:p>
    <w:p w14:paraId="7B8B324A" w14:textId="77777777" w:rsidR="00D97D86" w:rsidRPr="00A455F5" w:rsidRDefault="00D97D86" w:rsidP="00D97D86">
      <w:r w:rsidRPr="00A455F5">
        <w:t>Reports will be required at national, state</w:t>
      </w:r>
      <w:r>
        <w:t xml:space="preserve"> and territory,</w:t>
      </w:r>
      <w:r w:rsidRPr="00A455F5">
        <w:t xml:space="preserve"> and region</w:t>
      </w:r>
      <w:r>
        <w:t xml:space="preserve">al or </w:t>
      </w:r>
      <w:r w:rsidRPr="00A455F5">
        <w:t>local levels.</w:t>
      </w:r>
      <w:r>
        <w:t xml:space="preserve"> The reports will be essential to maintaining good situational awareness of key stakeholders and decision makers at each level, and will thereby facilitate good decision making and ongoing support for the response. </w:t>
      </w:r>
    </w:p>
    <w:p w14:paraId="261532A0" w14:textId="77777777" w:rsidR="00D97D86" w:rsidRPr="00A455F5" w:rsidRDefault="00D97D86" w:rsidP="00D97D86">
      <w:pPr>
        <w:pStyle w:val="NormalBeforeBullet"/>
      </w:pPr>
      <w:r w:rsidRPr="00A455F5">
        <w:t xml:space="preserve">The SCC will produce </w:t>
      </w:r>
      <w:r>
        <w:t>national-</w:t>
      </w:r>
      <w:r w:rsidRPr="00A455F5">
        <w:t>level written reports</w:t>
      </w:r>
      <w:r>
        <w:t xml:space="preserve">, which </w:t>
      </w:r>
      <w:r w:rsidRPr="00A455F5">
        <w:t>will include</w:t>
      </w:r>
      <w:r>
        <w:t>:</w:t>
      </w:r>
    </w:p>
    <w:p w14:paraId="1643F3C7" w14:textId="77777777" w:rsidR="00D97D86" w:rsidRPr="00A455F5" w:rsidRDefault="00D97D86" w:rsidP="00D97D86">
      <w:pPr>
        <w:pStyle w:val="Bullet"/>
      </w:pPr>
      <w:r>
        <w:t>t</w:t>
      </w:r>
      <w:r w:rsidRPr="00A455F5">
        <w:t xml:space="preserve">he initial report of the suspect </w:t>
      </w:r>
      <w:r>
        <w:t>emergency wildlife disease (</w:t>
      </w:r>
      <w:r w:rsidRPr="00A455F5">
        <w:t>EWD</w:t>
      </w:r>
      <w:r>
        <w:t>), which</w:t>
      </w:r>
      <w:r w:rsidRPr="00A455F5">
        <w:t xml:space="preserve"> must include all the known information for the case(s)</w:t>
      </w:r>
    </w:p>
    <w:p w14:paraId="47EBCFFE" w14:textId="77777777" w:rsidR="00D97D86" w:rsidRPr="00A455F5" w:rsidRDefault="00D97D86" w:rsidP="00D97D86">
      <w:pPr>
        <w:pStyle w:val="Bullet"/>
      </w:pPr>
      <w:r>
        <w:t>o</w:t>
      </w:r>
      <w:r w:rsidRPr="00A455F5">
        <w:t xml:space="preserve">ngoing reports at agreed intervals </w:t>
      </w:r>
      <w:r>
        <w:t>(</w:t>
      </w:r>
      <w:r w:rsidRPr="00A455F5">
        <w:t>eg weekly initially and fortnightly</w:t>
      </w:r>
      <w:r>
        <w:t xml:space="preserve"> or </w:t>
      </w:r>
      <w:r w:rsidRPr="00A455F5">
        <w:t>monthly thereafter</w:t>
      </w:r>
      <w:r>
        <w:t>)</w:t>
      </w:r>
      <w:r w:rsidRPr="00A455F5">
        <w:t xml:space="preserve"> that reflect the stability of the context, and additional reports when there is a significant change in context </w:t>
      </w:r>
      <w:r>
        <w:t>(</w:t>
      </w:r>
      <w:r w:rsidRPr="00A455F5">
        <w:t>eg</w:t>
      </w:r>
      <w:r>
        <w:t> </w:t>
      </w:r>
      <w:r w:rsidRPr="00A455F5">
        <w:t>detection of suspect EWD in an additional state</w:t>
      </w:r>
      <w:r>
        <w:t xml:space="preserve"> or </w:t>
      </w:r>
      <w:r w:rsidRPr="00A455F5">
        <w:t>territory</w:t>
      </w:r>
      <w:r>
        <w:t>)</w:t>
      </w:r>
    </w:p>
    <w:p w14:paraId="3C970DAE" w14:textId="77777777" w:rsidR="00D97D86" w:rsidRPr="00A455F5" w:rsidRDefault="00D97D86" w:rsidP="00D97D86">
      <w:pPr>
        <w:pStyle w:val="Bullet"/>
      </w:pPr>
      <w:r>
        <w:t>a</w:t>
      </w:r>
      <w:r w:rsidRPr="00A455F5">
        <w:t xml:space="preserve"> midterm report on </w:t>
      </w:r>
      <w:r>
        <w:t xml:space="preserve">the </w:t>
      </w:r>
      <w:r w:rsidRPr="00A455F5">
        <w:t>response that will provide detailed information based on significant analyses to show progress of the response against the aim, objectives, budget</w:t>
      </w:r>
      <w:r>
        <w:t xml:space="preserve">, </w:t>
      </w:r>
      <w:r w:rsidRPr="00A455F5">
        <w:t>milestones</w:t>
      </w:r>
      <w:r>
        <w:t xml:space="preserve"> and </w:t>
      </w:r>
      <w:r w:rsidRPr="00A455F5">
        <w:t>performance indicators</w:t>
      </w:r>
    </w:p>
    <w:p w14:paraId="09F48DDA" w14:textId="77777777" w:rsidR="00D97D86" w:rsidRPr="00A455F5" w:rsidRDefault="00D97D86" w:rsidP="00D97D86">
      <w:pPr>
        <w:pStyle w:val="Bullet"/>
      </w:pPr>
      <w:r>
        <w:t>f</w:t>
      </w:r>
      <w:r w:rsidRPr="00A455F5">
        <w:t>inal report at</w:t>
      </w:r>
      <w:r>
        <w:t xml:space="preserve"> or </w:t>
      </w:r>
      <w:r w:rsidRPr="00A455F5">
        <w:t>near the end of the response to support the decision that the EWD has been eradicated, or it is not technically feasible to eradicate the EWD</w:t>
      </w:r>
    </w:p>
    <w:p w14:paraId="05F29C2C" w14:textId="77777777" w:rsidR="00D97D86" w:rsidRPr="00A455F5" w:rsidRDefault="00D97D86" w:rsidP="00D97D86">
      <w:pPr>
        <w:pStyle w:val="BulletLast"/>
      </w:pPr>
      <w:r>
        <w:t>d</w:t>
      </w:r>
      <w:r w:rsidRPr="00A455F5">
        <w:t>ebrief report that presents the lessons identified</w:t>
      </w:r>
      <w:r>
        <w:t xml:space="preserve">, </w:t>
      </w:r>
      <w:r w:rsidRPr="00A455F5">
        <w:t>the proposed action to embed the success factors in future responses</w:t>
      </w:r>
      <w:r>
        <w:t>,</w:t>
      </w:r>
      <w:r w:rsidRPr="00A455F5">
        <w:t xml:space="preserve"> and the opportunities for change to enhance future responses.</w:t>
      </w:r>
    </w:p>
    <w:p w14:paraId="475DEB66" w14:textId="77777777" w:rsidR="00D97D86" w:rsidRPr="00FC6630" w:rsidRDefault="00D97D86" w:rsidP="00D97D86">
      <w:r>
        <w:lastRenderedPageBreak/>
        <w:t>In addition to the written reports, t</w:t>
      </w:r>
      <w:r w:rsidRPr="00A455F5">
        <w:t>he affected state</w:t>
      </w:r>
      <w:r>
        <w:t xml:space="preserve"> or </w:t>
      </w:r>
      <w:r w:rsidRPr="00A455F5">
        <w:t xml:space="preserve">territory will be required to provide a detailed verbal </w:t>
      </w:r>
      <w:r>
        <w:t xml:space="preserve">update </w:t>
      </w:r>
      <w:r w:rsidRPr="00A455F5">
        <w:t xml:space="preserve">to each meeting of the NBMG and </w:t>
      </w:r>
      <w:r w:rsidRPr="004B3655">
        <w:t>National Biosecurity Management Consultative Committee</w:t>
      </w:r>
      <w:r w:rsidRPr="00A455F5">
        <w:t>.</w:t>
      </w:r>
      <w:r>
        <w:t xml:space="preserve"> It is highly recommended that efforts are made to contact each key party before these national meetings to ensure that there is a shared </w:t>
      </w:r>
      <w:r w:rsidRPr="00067884">
        <w:t>understanding of the reports and other papers before the meeting.</w:t>
      </w:r>
    </w:p>
    <w:p w14:paraId="791C705B" w14:textId="77777777" w:rsidR="00D97D86" w:rsidRPr="00A455F5" w:rsidRDefault="00D97D86" w:rsidP="00D97D86">
      <w:r w:rsidRPr="00FC6630">
        <w:t>The national</w:t>
      </w:r>
      <w:r>
        <w:t>-</w:t>
      </w:r>
      <w:r w:rsidRPr="00FC6630">
        <w:t>level reports will require significant analysis</w:t>
      </w:r>
      <w:r>
        <w:t>,</w:t>
      </w:r>
      <w:r w:rsidRPr="00FC6630">
        <w:t xml:space="preserve"> and quality presentation of information in graphs, tables and diagrams</w:t>
      </w:r>
      <w:r w:rsidRPr="00067884">
        <w:t xml:space="preserve"> </w:t>
      </w:r>
      <w:r w:rsidRPr="00FC6630">
        <w:t xml:space="preserve">to ensure </w:t>
      </w:r>
      <w:r>
        <w:t xml:space="preserve">that </w:t>
      </w:r>
      <w:r w:rsidRPr="00FC6630">
        <w:t xml:space="preserve">the reader has the same level of situational awareness as the affected state or territory. </w:t>
      </w:r>
      <w:r w:rsidRPr="00067884">
        <w:t xml:space="preserve">Raw data </w:t>
      </w:r>
      <w:r>
        <w:t>are</w:t>
      </w:r>
      <w:r w:rsidRPr="00067884">
        <w:t xml:space="preserve"> not sufficient.</w:t>
      </w:r>
      <w:r w:rsidRPr="00FC6630">
        <w:t xml:space="preserve"> The national</w:t>
      </w:r>
      <w:r>
        <w:t>-</w:t>
      </w:r>
      <w:r w:rsidRPr="00FC6630">
        <w:t>level report must include updated and detailed figures on budget</w:t>
      </w:r>
      <w:r w:rsidRPr="00A455F5">
        <w:t xml:space="preserve"> expenditure and commitments. The report will cover the period since the last report was issued. The report does not need to report information that goes back to the start of the response.</w:t>
      </w:r>
    </w:p>
    <w:p w14:paraId="530F5E20" w14:textId="77777777" w:rsidR="00D97D86" w:rsidRDefault="00D97D86" w:rsidP="00D97D86">
      <w:r>
        <w:t xml:space="preserve">Each </w:t>
      </w:r>
      <w:r w:rsidRPr="00A455F5">
        <w:t>national</w:t>
      </w:r>
      <w:r>
        <w:t>-</w:t>
      </w:r>
      <w:r w:rsidRPr="00A455F5">
        <w:t xml:space="preserve">level report will </w:t>
      </w:r>
      <w:r>
        <w:t>provide an update on progress towards</w:t>
      </w:r>
      <w:r w:rsidRPr="00A455F5">
        <w:t xml:space="preserve"> the stated aim and objectives, performance indicators and milestones. </w:t>
      </w:r>
    </w:p>
    <w:p w14:paraId="0F9AD043" w14:textId="77777777" w:rsidR="00D97D86" w:rsidRPr="00A455F5" w:rsidRDefault="00D97D86" w:rsidP="00D97D86">
      <w:r w:rsidRPr="00A455F5">
        <w:t>National</w:t>
      </w:r>
      <w:r>
        <w:t>-</w:t>
      </w:r>
      <w:r w:rsidRPr="00A455F5">
        <w:t xml:space="preserve">level situation reports </w:t>
      </w:r>
      <w:r>
        <w:t xml:space="preserve">(sitreps) </w:t>
      </w:r>
      <w:r w:rsidRPr="00A455F5">
        <w:t>must make it clear where there is any deviation from the approved NRP</w:t>
      </w:r>
      <w:r>
        <w:t>, including the budget</w:t>
      </w:r>
      <w:r w:rsidRPr="00A455F5">
        <w:t xml:space="preserve">. </w:t>
      </w:r>
    </w:p>
    <w:p w14:paraId="41345DA0" w14:textId="77777777" w:rsidR="00D97D86" w:rsidRPr="00A455F5" w:rsidRDefault="00D97D86" w:rsidP="00D97D86">
      <w:r>
        <w:t>T</w:t>
      </w:r>
      <w:r w:rsidRPr="00A455F5">
        <w:t xml:space="preserve">he SCC </w:t>
      </w:r>
      <w:r>
        <w:t>will also need</w:t>
      </w:r>
      <w:r w:rsidRPr="00A455F5">
        <w:t xml:space="preserve"> to produce </w:t>
      </w:r>
      <w:r>
        <w:t>sitreps</w:t>
      </w:r>
      <w:r w:rsidRPr="00A455F5">
        <w:t xml:space="preserve"> </w:t>
      </w:r>
      <w:r>
        <w:t>for</w:t>
      </w:r>
      <w:r w:rsidRPr="00A455F5">
        <w:t xml:space="preserve"> </w:t>
      </w:r>
      <w:r>
        <w:t xml:space="preserve">state or territory </w:t>
      </w:r>
      <w:r w:rsidRPr="00A455F5">
        <w:t>agencies and partners</w:t>
      </w:r>
      <w:r>
        <w:t>, and the state or territory government</w:t>
      </w:r>
      <w:r w:rsidRPr="00A455F5">
        <w:t xml:space="preserve">. These reports will contain more detail </w:t>
      </w:r>
      <w:r>
        <w:t>about</w:t>
      </w:r>
      <w:r w:rsidRPr="00A455F5">
        <w:t xml:space="preserve"> the activities of all the agencies and partners in the jurisdiction. </w:t>
      </w:r>
      <w:r>
        <w:t>The same sitrep can be used for all these stakeholders, rather than developing many variations of the same report. Sitreps</w:t>
      </w:r>
      <w:r w:rsidRPr="00A455F5">
        <w:t xml:space="preserve"> will initially </w:t>
      </w:r>
      <w:r>
        <w:t xml:space="preserve">be frequent, </w:t>
      </w:r>
      <w:r w:rsidRPr="00A455F5">
        <w:t>and the interval between reports will expand as the context stabilises.</w:t>
      </w:r>
      <w:r>
        <w:t xml:space="preserve"> </w:t>
      </w:r>
    </w:p>
    <w:p w14:paraId="10F8A150" w14:textId="77777777" w:rsidR="00D97D86" w:rsidRPr="00A455F5" w:rsidRDefault="00D97D86" w:rsidP="00D97D86">
      <w:r w:rsidRPr="00A455F5">
        <w:t>Specialised reports will be needed for targeted activities such as analysis of surveillance to date, the case for eradication and proof of freedom. These reports are usually developed by the SCC.</w:t>
      </w:r>
      <w:r>
        <w:t xml:space="preserve"> Considerable effort and time will be needed to produce high-quality reports. Consideration should be given to engaging graphic designers or similar to ensure that the reports are of the very highest calibre.</w:t>
      </w:r>
    </w:p>
    <w:p w14:paraId="2D5139E7" w14:textId="77777777" w:rsidR="00D97D86" w:rsidRPr="00A455F5" w:rsidRDefault="00D97D86" w:rsidP="00D97D86">
      <w:r w:rsidRPr="00A455F5">
        <w:t>T</w:t>
      </w:r>
      <w:r>
        <w:t>he LCC will also issue regular sitreps</w:t>
      </w:r>
      <w:r w:rsidRPr="00A455F5">
        <w:t>. Initially</w:t>
      </w:r>
      <w:r>
        <w:t>,</w:t>
      </w:r>
      <w:r w:rsidRPr="00A455F5">
        <w:t xml:space="preserve"> the LCC reports may be daily and progress to twice </w:t>
      </w:r>
      <w:r>
        <w:t xml:space="preserve">weekly </w:t>
      </w:r>
      <w:r w:rsidRPr="00A455F5">
        <w:t xml:space="preserve">or even weekly once the context is stable. The LCC </w:t>
      </w:r>
      <w:r>
        <w:t>sitrep</w:t>
      </w:r>
      <w:r w:rsidRPr="00A455F5">
        <w:t xml:space="preserve"> will clearly articulate the taskings against the tactics and strategy. </w:t>
      </w:r>
      <w:r>
        <w:t>It</w:t>
      </w:r>
      <w:r w:rsidRPr="00A455F5">
        <w:t xml:space="preserve"> will usually include a range of numbers</w:t>
      </w:r>
      <w:r>
        <w:t>,</w:t>
      </w:r>
      <w:r w:rsidRPr="00A455F5">
        <w:t xml:space="preserve"> such as </w:t>
      </w:r>
      <w:r>
        <w:t xml:space="preserve">numbers of </w:t>
      </w:r>
      <w:r w:rsidRPr="00A455F5">
        <w:t xml:space="preserve">staff involved in </w:t>
      </w:r>
      <w:r>
        <w:t xml:space="preserve">the </w:t>
      </w:r>
      <w:r w:rsidRPr="00A455F5">
        <w:t xml:space="preserve">response, </w:t>
      </w:r>
      <w:r>
        <w:t xml:space="preserve">and </w:t>
      </w:r>
      <w:r w:rsidRPr="00A455F5">
        <w:t xml:space="preserve">numbers of premises or animals </w:t>
      </w:r>
      <w:r>
        <w:t>subject to</w:t>
      </w:r>
      <w:r w:rsidRPr="00A455F5">
        <w:t xml:space="preserve"> field activities such as surveillance, tracing, destruction and disposal, movement control actions </w:t>
      </w:r>
      <w:r>
        <w:t>(</w:t>
      </w:r>
      <w:r w:rsidRPr="00A455F5">
        <w:t>including compliance</w:t>
      </w:r>
      <w:r>
        <w:t>),</w:t>
      </w:r>
      <w:r w:rsidRPr="00A455F5">
        <w:t xml:space="preserve"> and samplin</w:t>
      </w:r>
      <w:r>
        <w:t xml:space="preserve">g and </w:t>
      </w:r>
      <w:r w:rsidRPr="00A455F5">
        <w:t xml:space="preserve">testing. A budget report must be included with each </w:t>
      </w:r>
      <w:r>
        <w:t>sitrep</w:t>
      </w:r>
      <w:r w:rsidRPr="00A455F5">
        <w:t xml:space="preserve">. </w:t>
      </w:r>
    </w:p>
    <w:p w14:paraId="20272378" w14:textId="77777777" w:rsidR="00D97D86" w:rsidRPr="00A455F5" w:rsidRDefault="00D97D86" w:rsidP="00D97D86">
      <w:r w:rsidRPr="00A455F5">
        <w:t xml:space="preserve">Each </w:t>
      </w:r>
      <w:r>
        <w:t>sitrep</w:t>
      </w:r>
      <w:r w:rsidRPr="00A455F5">
        <w:t xml:space="preserve"> will show </w:t>
      </w:r>
      <w:r>
        <w:t>data</w:t>
      </w:r>
      <w:r w:rsidRPr="00A455F5">
        <w:t xml:space="preserve"> for </w:t>
      </w:r>
      <w:r>
        <w:t>work health and safety (</w:t>
      </w:r>
      <w:r w:rsidRPr="00A455F5">
        <w:t xml:space="preserve">eg number of near misses, </w:t>
      </w:r>
      <w:r>
        <w:t xml:space="preserve">number of </w:t>
      </w:r>
      <w:r w:rsidRPr="00A455F5">
        <w:t>incident reports, number of injuries</w:t>
      </w:r>
      <w:r>
        <w:t>)</w:t>
      </w:r>
      <w:r w:rsidRPr="00A455F5">
        <w:t>.</w:t>
      </w:r>
      <w:r>
        <w:t xml:space="preserve"> The number should be reported even when the value is zero. It should be clear whether the reported values are the total since the last report or a progressive total since the start of the response.</w:t>
      </w:r>
    </w:p>
    <w:p w14:paraId="18887030" w14:textId="77777777" w:rsidR="00D97D86" w:rsidRPr="00A455F5" w:rsidRDefault="00D97D86" w:rsidP="00D97D86">
      <w:pPr>
        <w:pStyle w:val="NormalBeforeBullet"/>
      </w:pPr>
      <w:r w:rsidRPr="00A455F5">
        <w:t xml:space="preserve">The format for a </w:t>
      </w:r>
      <w:r>
        <w:t>sitrep</w:t>
      </w:r>
      <w:r w:rsidRPr="00A455F5">
        <w:t xml:space="preserve"> </w:t>
      </w:r>
      <w:r>
        <w:t>will usually</w:t>
      </w:r>
      <w:r w:rsidRPr="00A455F5">
        <w:t xml:space="preserve"> reflect the policy of the state</w:t>
      </w:r>
      <w:r>
        <w:t xml:space="preserve"> or </w:t>
      </w:r>
      <w:r w:rsidRPr="00A455F5">
        <w:t xml:space="preserve">territory producing it. The </w:t>
      </w:r>
      <w:r>
        <w:t>sitrep</w:t>
      </w:r>
      <w:r w:rsidRPr="00A455F5">
        <w:t xml:space="preserve"> will typically address</w:t>
      </w:r>
      <w:r>
        <w:t>:</w:t>
      </w:r>
    </w:p>
    <w:p w14:paraId="4544A0C0" w14:textId="77777777" w:rsidR="00D97D86" w:rsidRDefault="00D97D86" w:rsidP="00D97D86">
      <w:pPr>
        <w:pStyle w:val="Bullet"/>
      </w:pPr>
      <w:r>
        <w:t>the period covered by the report</w:t>
      </w:r>
    </w:p>
    <w:p w14:paraId="74D7D23E" w14:textId="77777777" w:rsidR="00D97D86" w:rsidRPr="00A455F5" w:rsidRDefault="00D97D86" w:rsidP="00D97D86">
      <w:pPr>
        <w:pStyle w:val="Bullet"/>
      </w:pPr>
      <w:r>
        <w:t>w</w:t>
      </w:r>
      <w:r w:rsidRPr="00A455F5">
        <w:t>hat has happened since the last report</w:t>
      </w:r>
    </w:p>
    <w:p w14:paraId="16A99554" w14:textId="77777777" w:rsidR="00D97D86" w:rsidRPr="00A455F5" w:rsidRDefault="00D97D86" w:rsidP="00D97D86">
      <w:pPr>
        <w:pStyle w:val="Bullet"/>
      </w:pPr>
      <w:r>
        <w:t>w</w:t>
      </w:r>
      <w:r w:rsidRPr="00A455F5">
        <w:t>hat has been done and changed since the last report</w:t>
      </w:r>
    </w:p>
    <w:p w14:paraId="02D27449" w14:textId="77777777" w:rsidR="00D97D86" w:rsidRPr="00A455F5" w:rsidRDefault="00D97D86" w:rsidP="00D97D86">
      <w:pPr>
        <w:pStyle w:val="Bullet"/>
      </w:pPr>
      <w:r>
        <w:t>w</w:t>
      </w:r>
      <w:r w:rsidRPr="00A455F5">
        <w:t>hat is planned or scheduled in the period until the next report is issued</w:t>
      </w:r>
    </w:p>
    <w:p w14:paraId="5EC3D3E8" w14:textId="77777777" w:rsidR="00D97D86" w:rsidRPr="00A455F5" w:rsidRDefault="00D97D86" w:rsidP="00D97D86">
      <w:pPr>
        <w:pStyle w:val="Bullet"/>
      </w:pPr>
      <w:r w:rsidRPr="00A455F5">
        <w:t>issues and challenges that need consideration</w:t>
      </w:r>
    </w:p>
    <w:p w14:paraId="19A55EC0" w14:textId="77777777" w:rsidR="00D97D86" w:rsidRPr="00A455F5" w:rsidRDefault="00D97D86" w:rsidP="00D97D86">
      <w:pPr>
        <w:pStyle w:val="Bullet"/>
      </w:pPr>
      <w:r>
        <w:lastRenderedPageBreak/>
        <w:t>a</w:t>
      </w:r>
      <w:r w:rsidRPr="00A455F5">
        <w:t xml:space="preserve"> budget report</w:t>
      </w:r>
      <w:r>
        <w:t xml:space="preserve"> or summary</w:t>
      </w:r>
    </w:p>
    <w:p w14:paraId="7830B2B4" w14:textId="77777777" w:rsidR="00D97D86" w:rsidRDefault="00D97D86" w:rsidP="00D97D86">
      <w:pPr>
        <w:pStyle w:val="BulletLast"/>
      </w:pPr>
      <w:r>
        <w:t>r</w:t>
      </w:r>
      <w:r w:rsidRPr="00A455F5">
        <w:t>eport</w:t>
      </w:r>
      <w:r>
        <w:t>ing</w:t>
      </w:r>
      <w:r w:rsidRPr="00A455F5">
        <w:t xml:space="preserve"> against aim</w:t>
      </w:r>
      <w:r>
        <w:t xml:space="preserve">, </w:t>
      </w:r>
      <w:r w:rsidRPr="00A455F5">
        <w:t>objectives</w:t>
      </w:r>
      <w:r>
        <w:t>,</w:t>
      </w:r>
      <w:r w:rsidRPr="00A455F5">
        <w:t xml:space="preserve"> performance indicators and milestones.</w:t>
      </w:r>
    </w:p>
    <w:p w14:paraId="7F44A41D" w14:textId="77777777" w:rsidR="00D97D86" w:rsidRPr="00A81FA3" w:rsidRDefault="00D97D86" w:rsidP="00D97D86">
      <w:r>
        <w:t xml:space="preserve">A template for a strategic level sitrep is presented in Appendix 2. </w:t>
      </w:r>
      <w:r w:rsidRPr="002207E2">
        <w:rPr>
          <w:i/>
        </w:rPr>
        <w:t>Biosecurity emergency management</w:t>
      </w:r>
      <w:r>
        <w:rPr>
          <w:i/>
        </w:rPr>
        <w:t xml:space="preserve"> –</w:t>
      </w:r>
      <w:r w:rsidRPr="002207E2">
        <w:rPr>
          <w:i/>
        </w:rPr>
        <w:t xml:space="preserve"> response planning guide</w:t>
      </w:r>
      <w:r w:rsidRPr="002207E2">
        <w:rPr>
          <w:rStyle w:val="FootnoteReference"/>
        </w:rPr>
        <w:footnoteReference w:id="18"/>
      </w:r>
      <w:r w:rsidRPr="002207E2">
        <w:t xml:space="preserve"> provides an outline for a tactical or control-level sitrep.</w:t>
      </w:r>
    </w:p>
    <w:p w14:paraId="6BBFE316" w14:textId="77777777" w:rsidR="00D97D86" w:rsidRDefault="00D97D86" w:rsidP="00766FF7"/>
    <w:p w14:paraId="0723031D" w14:textId="4E250D69" w:rsidR="00CF2684" w:rsidRPr="00DF03EF" w:rsidRDefault="00D97D86" w:rsidP="00D97D86">
      <w:pPr>
        <w:pStyle w:val="Heading1"/>
      </w:pPr>
      <w:bookmarkStart w:id="90" w:name="_Toc529783793"/>
      <w:r>
        <w:lastRenderedPageBreak/>
        <w:t>8</w:t>
      </w:r>
      <w:r w:rsidR="001024D9">
        <w:tab/>
      </w:r>
      <w:r w:rsidR="00CF2684" w:rsidRPr="00DF03EF">
        <w:t>Communications, community engagement and media</w:t>
      </w:r>
      <w:bookmarkEnd w:id="90"/>
    </w:p>
    <w:p w14:paraId="653B1513" w14:textId="6C895F11" w:rsidR="00CF2684" w:rsidRPr="007C7DC5" w:rsidRDefault="00CF2684" w:rsidP="00CF2684">
      <w:r w:rsidRPr="007C7DC5">
        <w:t>Information flow and information exchange through the full range of communication channels will occur at the national, state</w:t>
      </w:r>
      <w:r>
        <w:t xml:space="preserve"> and territory</w:t>
      </w:r>
      <w:r w:rsidR="00BD25DB">
        <w:t>,</w:t>
      </w:r>
      <w:r w:rsidRPr="007C7DC5">
        <w:t xml:space="preserve"> and region</w:t>
      </w:r>
      <w:r>
        <w:t xml:space="preserve">al or </w:t>
      </w:r>
      <w:r w:rsidRPr="007C7DC5">
        <w:t>local levels.</w:t>
      </w:r>
    </w:p>
    <w:p w14:paraId="26A453D1" w14:textId="426901D0" w:rsidR="00CF2684" w:rsidRPr="007C7DC5" w:rsidRDefault="00CF2684" w:rsidP="00CF2684">
      <w:r w:rsidRPr="007C7DC5">
        <w:t>At the national level</w:t>
      </w:r>
      <w:r w:rsidR="00BD25DB">
        <w:t>,</w:t>
      </w:r>
      <w:r w:rsidRPr="007C7DC5">
        <w:t xml:space="preserve"> nationally agreed talking points </w:t>
      </w:r>
      <w:r>
        <w:t>are usually released</w:t>
      </w:r>
      <w:r w:rsidRPr="007C7DC5">
        <w:t xml:space="preserve"> </w:t>
      </w:r>
      <w:r w:rsidR="00882CF7">
        <w:t>by</w:t>
      </w:r>
      <w:r w:rsidR="00882CF7" w:rsidRPr="007C7DC5">
        <w:t xml:space="preserve"> </w:t>
      </w:r>
      <w:r w:rsidRPr="007C7DC5">
        <w:t xml:space="preserve">the </w:t>
      </w:r>
      <w:r w:rsidR="00882CF7" w:rsidRPr="004B3655">
        <w:t>National Biosecurity Management Group</w:t>
      </w:r>
      <w:r w:rsidR="00882CF7" w:rsidRPr="007C7DC5">
        <w:t xml:space="preserve"> </w:t>
      </w:r>
      <w:r w:rsidR="00882CF7">
        <w:t>(</w:t>
      </w:r>
      <w:r w:rsidRPr="007C7DC5">
        <w:t>NBMG</w:t>
      </w:r>
      <w:r w:rsidR="00882CF7">
        <w:t>)</w:t>
      </w:r>
      <w:r w:rsidRPr="007C7DC5">
        <w:t xml:space="preserve">. These talking points provide the basis for all parties to develop their communications to </w:t>
      </w:r>
      <w:r>
        <w:t xml:space="preserve">partners and </w:t>
      </w:r>
      <w:r w:rsidRPr="007C7DC5">
        <w:t xml:space="preserve">stakeholders. The National </w:t>
      </w:r>
      <w:r>
        <w:t xml:space="preserve">Biosecurity </w:t>
      </w:r>
      <w:r w:rsidRPr="007C7DC5">
        <w:t xml:space="preserve">Communications </w:t>
      </w:r>
      <w:r>
        <w:t xml:space="preserve">and Engagement </w:t>
      </w:r>
      <w:r w:rsidRPr="007C7DC5">
        <w:t>Network</w:t>
      </w:r>
      <w:r w:rsidR="00882CF7">
        <w:t>, which</w:t>
      </w:r>
      <w:r w:rsidRPr="007C7DC5">
        <w:t xml:space="preserve"> includes representatives from the state</w:t>
      </w:r>
      <w:r>
        <w:t xml:space="preserve">s and </w:t>
      </w:r>
      <w:r w:rsidRPr="007C7DC5">
        <w:t>territor</w:t>
      </w:r>
      <w:r>
        <w:t>ies</w:t>
      </w:r>
      <w:r w:rsidR="00882CF7">
        <w:t>,</w:t>
      </w:r>
      <w:r w:rsidRPr="007C7DC5">
        <w:t xml:space="preserve"> and </w:t>
      </w:r>
      <w:r w:rsidR="00882CF7">
        <w:t xml:space="preserve">from </w:t>
      </w:r>
      <w:r w:rsidRPr="007C7DC5">
        <w:t>Australian Government primary industries</w:t>
      </w:r>
      <w:r>
        <w:t xml:space="preserve"> </w:t>
      </w:r>
      <w:r w:rsidRPr="007C7DC5">
        <w:t>agencies</w:t>
      </w:r>
      <w:r w:rsidR="00882CF7">
        <w:t>,</w:t>
      </w:r>
      <w:r w:rsidRPr="007C7DC5">
        <w:t xml:space="preserve"> may actively support communications at the national level. </w:t>
      </w:r>
    </w:p>
    <w:p w14:paraId="09305192" w14:textId="77777777" w:rsidR="00CF2684" w:rsidRDefault="00CF2684" w:rsidP="00CF2684">
      <w:r w:rsidRPr="007C7DC5">
        <w:t xml:space="preserve">The Australian Government will liaise and communicate with international stakeholders. </w:t>
      </w:r>
    </w:p>
    <w:p w14:paraId="1DB5FCF2" w14:textId="2DD7C8AC" w:rsidR="00CF2684" w:rsidRDefault="00CF2684" w:rsidP="00CF2684">
      <w:r>
        <w:t xml:space="preserve">The </w:t>
      </w:r>
      <w:r w:rsidR="00882CF7">
        <w:t>State Coordination Centre (</w:t>
      </w:r>
      <w:r>
        <w:t>SCC</w:t>
      </w:r>
      <w:r w:rsidR="00882CF7">
        <w:t>)</w:t>
      </w:r>
      <w:r>
        <w:t xml:space="preserve"> of affected states or territories</w:t>
      </w:r>
      <w:r w:rsidR="0064023C">
        <w:t>,</w:t>
      </w:r>
      <w:r>
        <w:t xml:space="preserve"> and the everyday arrangements of the nonaffected states and territories will manage communications with the stakeholders of their jurisdiction</w:t>
      </w:r>
      <w:r w:rsidRPr="0064023C">
        <w:t xml:space="preserve">s. SCC </w:t>
      </w:r>
      <w:r w:rsidR="00BC2E0B">
        <w:t>Community Engagement and SCC M</w:t>
      </w:r>
      <w:r w:rsidRPr="0064023C">
        <w:t xml:space="preserve">edia </w:t>
      </w:r>
      <w:r w:rsidR="00BC2E0B">
        <w:t xml:space="preserve">Liaison </w:t>
      </w:r>
      <w:r w:rsidRPr="0064023C">
        <w:t>ha</w:t>
      </w:r>
      <w:r>
        <w:t xml:space="preserve">ve primary responsibility for communications outside the area of responsibility of the </w:t>
      </w:r>
      <w:r w:rsidR="00882CF7">
        <w:t>Local Control Centre (</w:t>
      </w:r>
      <w:r>
        <w:t>LCC</w:t>
      </w:r>
      <w:r w:rsidR="00882CF7">
        <w:t>)</w:t>
      </w:r>
      <w:r>
        <w:t>.</w:t>
      </w:r>
    </w:p>
    <w:p w14:paraId="69B59E83" w14:textId="40515AB8" w:rsidR="00CF2684" w:rsidRDefault="00CF2684" w:rsidP="00CF2684">
      <w:r>
        <w:t xml:space="preserve">The LCC will manage communications, community engagement and media in </w:t>
      </w:r>
      <w:r w:rsidR="00882CF7">
        <w:t xml:space="preserve">its </w:t>
      </w:r>
      <w:r>
        <w:t>designated region or local area. At the region</w:t>
      </w:r>
      <w:r w:rsidR="00882CF7">
        <w:t>al</w:t>
      </w:r>
      <w:r>
        <w:t xml:space="preserve"> or local area level</w:t>
      </w:r>
      <w:r w:rsidR="00882CF7">
        <w:t>,</w:t>
      </w:r>
      <w:r>
        <w:t xml:space="preserve"> there will be an emphasis on community engagement that encourages community support for the response. The LCC will work to have a dialogue with the local community</w:t>
      </w:r>
      <w:r w:rsidR="00882CF7">
        <w:t>,</w:t>
      </w:r>
      <w:r>
        <w:t xml:space="preserve"> rather than just providing information to the community.</w:t>
      </w:r>
    </w:p>
    <w:p w14:paraId="778EF62E" w14:textId="0C1215FF" w:rsidR="00CF2684" w:rsidRDefault="00CF2684" w:rsidP="00CF2684">
      <w:pPr>
        <w:pStyle w:val="NormalBeforeBullet"/>
      </w:pPr>
      <w:r>
        <w:t>A Communications</w:t>
      </w:r>
      <w:r w:rsidR="00882CF7">
        <w:t>,</w:t>
      </w:r>
      <w:r>
        <w:t xml:space="preserve"> Community Engagement and Media Plan will support the </w:t>
      </w:r>
      <w:r w:rsidR="00882CF7" w:rsidRPr="00FC6630">
        <w:rPr>
          <w:bCs/>
        </w:rPr>
        <w:t xml:space="preserve">National Biosecurity </w:t>
      </w:r>
      <w:r w:rsidR="00882CF7">
        <w:rPr>
          <w:bCs/>
        </w:rPr>
        <w:t xml:space="preserve">Incident </w:t>
      </w:r>
      <w:r w:rsidR="00882CF7" w:rsidRPr="00FC6630">
        <w:rPr>
          <w:bCs/>
        </w:rPr>
        <w:t>Response Plan</w:t>
      </w:r>
      <w:r w:rsidR="00882CF7">
        <w:t xml:space="preserve"> (</w:t>
      </w:r>
      <w:r>
        <w:t>NRP</w:t>
      </w:r>
      <w:r w:rsidR="00882CF7">
        <w:t>)</w:t>
      </w:r>
      <w:r>
        <w:t xml:space="preserve">. </w:t>
      </w:r>
      <w:r w:rsidR="00882CF7">
        <w:t>It</w:t>
      </w:r>
      <w:r>
        <w:t xml:space="preserve"> will set out:</w:t>
      </w:r>
    </w:p>
    <w:p w14:paraId="428746CF" w14:textId="2CE28040" w:rsidR="00CF2684" w:rsidRDefault="00882CF7" w:rsidP="00CF2684">
      <w:pPr>
        <w:pStyle w:val="Bullet"/>
      </w:pPr>
      <w:r>
        <w:t>a</w:t>
      </w:r>
      <w:r w:rsidR="00CF2684">
        <w:t>im and objectives in support of the overall NRP aim and objectives</w:t>
      </w:r>
    </w:p>
    <w:p w14:paraId="5AB45607" w14:textId="085EDBF7" w:rsidR="00CF2684" w:rsidRDefault="00882CF7" w:rsidP="00CF2684">
      <w:pPr>
        <w:pStyle w:val="Bullet"/>
      </w:pPr>
      <w:r>
        <w:t>a</w:t>
      </w:r>
      <w:r w:rsidR="00CF2684">
        <w:t xml:space="preserve"> stakeholder analysis with issues or similar</w:t>
      </w:r>
    </w:p>
    <w:p w14:paraId="53553AC9" w14:textId="54468FDE" w:rsidR="00CF2684" w:rsidRDefault="00882CF7" w:rsidP="00CF2684">
      <w:pPr>
        <w:pStyle w:val="Bullet"/>
      </w:pPr>
      <w:r>
        <w:t>t</w:t>
      </w:r>
      <w:r w:rsidR="00CF2684">
        <w:t>he channels, key messages</w:t>
      </w:r>
      <w:r>
        <w:t xml:space="preserve"> and</w:t>
      </w:r>
      <w:r w:rsidR="00CF2684">
        <w:t xml:space="preserve"> timing for each stakeholder group</w:t>
      </w:r>
    </w:p>
    <w:p w14:paraId="07BD0E9C" w14:textId="4A4A57AE" w:rsidR="00CF2684" w:rsidRDefault="00882CF7" w:rsidP="00CF2684">
      <w:pPr>
        <w:pStyle w:val="Bullet"/>
      </w:pPr>
      <w:r>
        <w:t>p</w:t>
      </w:r>
      <w:r w:rsidR="00CF2684">
        <w:t>erformance indicators and milestones for monitoring and review of progress against the aim and objectives</w:t>
      </w:r>
    </w:p>
    <w:p w14:paraId="7AE62520" w14:textId="211297F0" w:rsidR="00CF2684" w:rsidRPr="007C7DC5" w:rsidRDefault="00882CF7" w:rsidP="00230CCC">
      <w:pPr>
        <w:pStyle w:val="BulletLast"/>
      </w:pPr>
      <w:r>
        <w:t>d</w:t>
      </w:r>
      <w:r w:rsidR="00CF2684">
        <w:t>etailed breakdown of costs.</w:t>
      </w:r>
    </w:p>
    <w:p w14:paraId="1595FC1D" w14:textId="4CA3C7F4" w:rsidR="00CF2684" w:rsidRDefault="00CF2684" w:rsidP="00882CF7">
      <w:pPr>
        <w:rPr>
          <w:rStyle w:val="Hyperlink"/>
          <w:u w:val="none"/>
        </w:rPr>
      </w:pPr>
      <w:r w:rsidRPr="00A30ADA">
        <w:t>A Communications</w:t>
      </w:r>
      <w:r w:rsidR="00882CF7">
        <w:t>,</w:t>
      </w:r>
      <w:r>
        <w:t xml:space="preserve"> Community Engagement and Media</w:t>
      </w:r>
      <w:r w:rsidRPr="00A30ADA">
        <w:t xml:space="preserve"> Plan template is </w:t>
      </w:r>
      <w:r w:rsidR="00882CF7">
        <w:t>provided</w:t>
      </w:r>
      <w:r w:rsidR="00882CF7" w:rsidRPr="00A30ADA">
        <w:t xml:space="preserve"> </w:t>
      </w:r>
      <w:r w:rsidRPr="00A30ADA">
        <w:t>in Appendix</w:t>
      </w:r>
      <w:r w:rsidR="001F1066">
        <w:t> 5</w:t>
      </w:r>
      <w:r>
        <w:t xml:space="preserve">. The content of the template follows the advice provided in the AUSVETPLAN </w:t>
      </w:r>
      <w:r w:rsidRPr="002207E2">
        <w:rPr>
          <w:i/>
        </w:rPr>
        <w:t xml:space="preserve">Biosecurity </w:t>
      </w:r>
      <w:r w:rsidR="002207E2" w:rsidRPr="002207E2">
        <w:rPr>
          <w:i/>
        </w:rPr>
        <w:t>incident public information man</w:t>
      </w:r>
      <w:r w:rsidRPr="002207E2">
        <w:rPr>
          <w:i/>
        </w:rPr>
        <w:t>ual</w:t>
      </w:r>
      <w:r>
        <w:t xml:space="preserve"> </w:t>
      </w:r>
      <w:r w:rsidR="00882CF7">
        <w:t>(</w:t>
      </w:r>
      <w:r>
        <w:t>Parts 1</w:t>
      </w:r>
      <w:r w:rsidR="00882CF7">
        <w:t>–</w:t>
      </w:r>
      <w:r>
        <w:t>4</w:t>
      </w:r>
      <w:r w:rsidR="00882CF7">
        <w:t>).</w:t>
      </w:r>
      <w:r w:rsidR="00882CF7">
        <w:rPr>
          <w:rStyle w:val="FootnoteReference"/>
        </w:rPr>
        <w:footnoteReference w:id="19"/>
      </w:r>
      <w:r>
        <w:t xml:space="preserve"> </w:t>
      </w:r>
    </w:p>
    <w:p w14:paraId="0228A3D1" w14:textId="77777777" w:rsidR="00C05AB7" w:rsidRPr="00C138CD" w:rsidRDefault="00C05AB7" w:rsidP="00CF2684"/>
    <w:p w14:paraId="23DD9828" w14:textId="77777777" w:rsidR="00CF2684" w:rsidRDefault="00CF2684" w:rsidP="00766FF7"/>
    <w:p w14:paraId="3721612B" w14:textId="6CBA9BC0" w:rsidR="00AC3281" w:rsidRPr="004504B2" w:rsidRDefault="00D97D86" w:rsidP="00A80AEB">
      <w:pPr>
        <w:pStyle w:val="Heading1"/>
      </w:pPr>
      <w:bookmarkStart w:id="91" w:name="_Toc529783794"/>
      <w:r>
        <w:lastRenderedPageBreak/>
        <w:t>9</w:t>
      </w:r>
      <w:r w:rsidR="00A80AEB">
        <w:tab/>
      </w:r>
      <w:r w:rsidR="00AC3281" w:rsidRPr="004504B2">
        <w:t xml:space="preserve">Work </w:t>
      </w:r>
      <w:r w:rsidR="00232921">
        <w:t>h</w:t>
      </w:r>
      <w:r w:rsidR="00AC3281" w:rsidRPr="004504B2">
        <w:t xml:space="preserve">ealth </w:t>
      </w:r>
      <w:r w:rsidR="00BB019C" w:rsidRPr="004504B2">
        <w:t xml:space="preserve">and </w:t>
      </w:r>
      <w:r w:rsidR="00BB019C">
        <w:t>s</w:t>
      </w:r>
      <w:r w:rsidR="00BB019C" w:rsidRPr="004504B2">
        <w:t>afety</w:t>
      </w:r>
      <w:bookmarkEnd w:id="91"/>
    </w:p>
    <w:p w14:paraId="3F54C9FF" w14:textId="764FF07A" w:rsidR="004504B2" w:rsidRPr="006D5C1D" w:rsidRDefault="004504B2" w:rsidP="00766FF7">
      <w:r w:rsidRPr="00FC6630">
        <w:t>Incident managers have legislati</w:t>
      </w:r>
      <w:r w:rsidR="00C64CEE" w:rsidRPr="00FC6630">
        <w:t>ve</w:t>
      </w:r>
      <w:r w:rsidRPr="00FC6630">
        <w:t xml:space="preserve"> </w:t>
      </w:r>
      <w:r w:rsidR="00C64CEE" w:rsidRPr="00FC6630">
        <w:t xml:space="preserve">and moral </w:t>
      </w:r>
      <w:r w:rsidRPr="00FC6630">
        <w:t>responsibility for all personnel, including contractors and service providers</w:t>
      </w:r>
      <w:r w:rsidR="00055D27">
        <w:t>,</w:t>
      </w:r>
      <w:r w:rsidRPr="00FC6630">
        <w:t xml:space="preserve"> and people direct</w:t>
      </w:r>
      <w:r w:rsidR="00055D27">
        <w:t xml:space="preserve">tly involved in </w:t>
      </w:r>
      <w:r w:rsidR="00C64CEE" w:rsidRPr="00FC6630">
        <w:t xml:space="preserve">a </w:t>
      </w:r>
      <w:r w:rsidRPr="00FC6630">
        <w:t>response.</w:t>
      </w:r>
      <w:r w:rsidR="00C60638" w:rsidRPr="00FC6630">
        <w:t xml:space="preserve"> </w:t>
      </w:r>
      <w:r w:rsidR="00857A12">
        <w:t>Work health and safety (</w:t>
      </w:r>
      <w:r w:rsidR="00F70137" w:rsidRPr="00FC6630">
        <w:t>WHS</w:t>
      </w:r>
      <w:r w:rsidR="00857A12">
        <w:t>)</w:t>
      </w:r>
      <w:r w:rsidR="002B61D5" w:rsidRPr="00FC6630">
        <w:t xml:space="preserve"> </w:t>
      </w:r>
      <w:r w:rsidRPr="00FC6630">
        <w:t>includes personnel well</w:t>
      </w:r>
      <w:r w:rsidRPr="006D5C1D">
        <w:t xml:space="preserve">being. </w:t>
      </w:r>
    </w:p>
    <w:p w14:paraId="39EF786D" w14:textId="0F5CFC76" w:rsidR="004504B2" w:rsidRPr="006D5C1D" w:rsidRDefault="00055D27" w:rsidP="00766FF7">
      <w:r>
        <w:t>N</w:t>
      </w:r>
      <w:r w:rsidR="004504B2" w:rsidRPr="006D5C1D">
        <w:t>ational WHS legislation is supported by regulations in most state</w:t>
      </w:r>
      <w:r w:rsidR="00B41D73">
        <w:t xml:space="preserve">s and </w:t>
      </w:r>
      <w:r w:rsidR="004504B2" w:rsidRPr="006D5C1D">
        <w:t>territories. Some states</w:t>
      </w:r>
      <w:r w:rsidR="004B291C">
        <w:t xml:space="preserve"> and territories</w:t>
      </w:r>
      <w:r w:rsidR="004504B2" w:rsidRPr="006D5C1D">
        <w:t xml:space="preserve"> have yet to finalise their supporting regulations for the national legislation. </w:t>
      </w:r>
      <w:r>
        <w:t>Although</w:t>
      </w:r>
      <w:r w:rsidRPr="006D5C1D">
        <w:t xml:space="preserve"> </w:t>
      </w:r>
      <w:r w:rsidR="004504B2" w:rsidRPr="006D5C1D">
        <w:t>the legislation provides for the shared responsibility for WHS by all personnel, incident managers and agency heads will be held accountable for the health, safety and wellbeing of personnel.</w:t>
      </w:r>
    </w:p>
    <w:p w14:paraId="3B31EF6E" w14:textId="261BF6BD" w:rsidR="004504B2" w:rsidRPr="006D5C1D" w:rsidRDefault="004504B2" w:rsidP="00766FF7">
      <w:r w:rsidRPr="006D5C1D">
        <w:t xml:space="preserve">The context of a response usually means </w:t>
      </w:r>
      <w:r w:rsidR="00055D27">
        <w:t xml:space="preserve">that </w:t>
      </w:r>
      <w:r w:rsidRPr="006D5C1D">
        <w:t xml:space="preserve">the WHS risks are higher than </w:t>
      </w:r>
      <w:r w:rsidR="002A4677">
        <w:t xml:space="preserve">for </w:t>
      </w:r>
      <w:r w:rsidRPr="006D5C1D">
        <w:t>normal</w:t>
      </w:r>
      <w:r w:rsidR="00055D27">
        <w:t>,</w:t>
      </w:r>
      <w:r w:rsidRPr="006D5C1D">
        <w:t xml:space="preserve"> everyday activities. </w:t>
      </w:r>
      <w:r w:rsidR="00A10E05" w:rsidRPr="006D5C1D">
        <w:t xml:space="preserve">Factors that increase the risks include </w:t>
      </w:r>
      <w:r w:rsidR="002369C2">
        <w:t>shift times that are longer than those usually work</w:t>
      </w:r>
      <w:r w:rsidR="005A52EB">
        <w:t>ed</w:t>
      </w:r>
      <w:r w:rsidR="002369C2">
        <w:t xml:space="preserve">, </w:t>
      </w:r>
      <w:r w:rsidR="00A10E05" w:rsidRPr="006D5C1D">
        <w:t xml:space="preserve">personnel undertaking tasks they would not usually undertake or </w:t>
      </w:r>
      <w:r w:rsidR="00055D27">
        <w:t>that they are undertaking</w:t>
      </w:r>
      <w:r w:rsidR="00A10E05" w:rsidRPr="006D5C1D">
        <w:t xml:space="preserve"> for the first time, </w:t>
      </w:r>
      <w:r w:rsidR="00055D27">
        <w:t>an unfamiliar</w:t>
      </w:r>
      <w:r w:rsidR="00055D27" w:rsidRPr="006D5C1D">
        <w:t xml:space="preserve"> </w:t>
      </w:r>
      <w:r w:rsidR="00A10E05" w:rsidRPr="006D5C1D">
        <w:t xml:space="preserve">operating environment, the stresses </w:t>
      </w:r>
      <w:r w:rsidR="002369C2">
        <w:t xml:space="preserve">and pressures </w:t>
      </w:r>
      <w:r w:rsidR="00A10E05" w:rsidRPr="006D5C1D">
        <w:t>of the response</w:t>
      </w:r>
      <w:r w:rsidR="002369C2">
        <w:t>, lack of knowledge or familiarity with the response risks,</w:t>
      </w:r>
      <w:r w:rsidR="00A10E05" w:rsidRPr="006D5C1D">
        <w:t xml:space="preserve"> </w:t>
      </w:r>
      <w:r w:rsidR="002369C2">
        <w:t xml:space="preserve">the </w:t>
      </w:r>
      <w:r w:rsidR="00A10E05" w:rsidRPr="006D5C1D">
        <w:t>extended duration</w:t>
      </w:r>
      <w:r w:rsidR="002369C2">
        <w:t xml:space="preserve"> of a response</w:t>
      </w:r>
      <w:r w:rsidR="00055D27">
        <w:t>,</w:t>
      </w:r>
      <w:r w:rsidR="005057E3">
        <w:t xml:space="preserve"> and response</w:t>
      </w:r>
      <w:r w:rsidR="00055D27">
        <w:t>-</w:t>
      </w:r>
      <w:r w:rsidR="005057E3">
        <w:t>specific risks such as zoonoses and challenging working environments</w:t>
      </w:r>
      <w:r w:rsidR="00A10E05" w:rsidRPr="006D5C1D">
        <w:t>.</w:t>
      </w:r>
    </w:p>
    <w:p w14:paraId="32D5DD5A" w14:textId="68FE57DD" w:rsidR="002369C2" w:rsidRDefault="00A10E05" w:rsidP="00766FF7">
      <w:r w:rsidRPr="006D5C1D">
        <w:t>A WHS system must be in place from the start of a response. The system must include development</w:t>
      </w:r>
      <w:r w:rsidR="00055D27">
        <w:t xml:space="preserve">, such as </w:t>
      </w:r>
      <w:r w:rsidRPr="006D5C1D">
        <w:t>contextuali</w:t>
      </w:r>
      <w:r w:rsidR="002369C2">
        <w:t>s</w:t>
      </w:r>
      <w:r w:rsidRPr="006D5C1D">
        <w:t>ation of pre-existing documents</w:t>
      </w:r>
      <w:r w:rsidR="00055D27">
        <w:t>;</w:t>
      </w:r>
      <w:r w:rsidRPr="006D5C1D">
        <w:t xml:space="preserve"> selection</w:t>
      </w:r>
      <w:r w:rsidR="005A52EB">
        <w:t>, development</w:t>
      </w:r>
      <w:r w:rsidRPr="006D5C1D">
        <w:t xml:space="preserve"> </w:t>
      </w:r>
      <w:r w:rsidR="005A52EB">
        <w:t xml:space="preserve">and use </w:t>
      </w:r>
      <w:r w:rsidRPr="006D5C1D">
        <w:t>of relevant documentation</w:t>
      </w:r>
      <w:r w:rsidR="005A52EB">
        <w:t xml:space="preserve"> such as risk assessments</w:t>
      </w:r>
      <w:r w:rsidR="00055D27">
        <w:t>;</w:t>
      </w:r>
      <w:r w:rsidR="005A52EB">
        <w:t xml:space="preserve"> safe work method </w:t>
      </w:r>
      <w:r w:rsidR="00954379">
        <w:t>statements</w:t>
      </w:r>
      <w:r w:rsidR="00055D27">
        <w:t>;</w:t>
      </w:r>
      <w:r w:rsidR="00954379">
        <w:t xml:space="preserve"> </w:t>
      </w:r>
      <w:r w:rsidR="00954379" w:rsidRPr="006D5C1D">
        <w:t>leadership</w:t>
      </w:r>
      <w:r w:rsidR="00055D27">
        <w:t>;</w:t>
      </w:r>
      <w:r w:rsidRPr="006D5C1D">
        <w:t xml:space="preserve"> implementation</w:t>
      </w:r>
      <w:r w:rsidR="00055D27">
        <w:t>,</w:t>
      </w:r>
      <w:r w:rsidRPr="006D5C1D">
        <w:t xml:space="preserve"> including induction</w:t>
      </w:r>
      <w:r w:rsidR="00055D27">
        <w:t>;</w:t>
      </w:r>
      <w:r w:rsidRPr="006D5C1D">
        <w:t xml:space="preserve"> incident reporting</w:t>
      </w:r>
      <w:r w:rsidR="00055D27">
        <w:t>;</w:t>
      </w:r>
      <w:r w:rsidRPr="006D5C1D">
        <w:t xml:space="preserve"> WHS officers and managers</w:t>
      </w:r>
      <w:r w:rsidR="00055D27">
        <w:t>;</w:t>
      </w:r>
      <w:r w:rsidRPr="006D5C1D">
        <w:t xml:space="preserve"> medical plan</w:t>
      </w:r>
      <w:r w:rsidR="00055D27">
        <w:t>;</w:t>
      </w:r>
      <w:r w:rsidRPr="006D5C1D">
        <w:t xml:space="preserve"> monitoring to ensure compliance with documentation; and review of documentation.</w:t>
      </w:r>
      <w:r w:rsidR="002369C2">
        <w:t xml:space="preserve"> </w:t>
      </w:r>
    </w:p>
    <w:p w14:paraId="51B2C03E" w14:textId="0A680486" w:rsidR="002369C2" w:rsidRDefault="002369C2" w:rsidP="00766FF7">
      <w:r>
        <w:t xml:space="preserve">The WHS </w:t>
      </w:r>
      <w:r w:rsidR="005057E3">
        <w:t xml:space="preserve">system </w:t>
      </w:r>
      <w:r>
        <w:t xml:space="preserve">is one of the </w:t>
      </w:r>
      <w:r w:rsidRPr="002369C2">
        <w:t>systems presented in Appendix</w:t>
      </w:r>
      <w:r w:rsidR="001F1066">
        <w:t> 7</w:t>
      </w:r>
      <w:r w:rsidR="002B3FCC" w:rsidRPr="00284801">
        <w:t>.</w:t>
      </w:r>
      <w:r w:rsidR="002B3FCC" w:rsidRPr="002B3FCC">
        <w:t xml:space="preserve"> </w:t>
      </w:r>
      <w:r w:rsidRPr="002369C2">
        <w:t xml:space="preserve">The </w:t>
      </w:r>
      <w:r w:rsidR="00055D27">
        <w:t>appendix</w:t>
      </w:r>
      <w:r w:rsidR="00055D27" w:rsidRPr="002369C2">
        <w:t xml:space="preserve"> </w:t>
      </w:r>
      <w:r w:rsidRPr="002369C2">
        <w:t xml:space="preserve">shows the typical outputs associated with a </w:t>
      </w:r>
      <w:r>
        <w:t xml:space="preserve">WHS </w:t>
      </w:r>
      <w:r w:rsidRPr="002369C2">
        <w:t>system, the outcome</w:t>
      </w:r>
      <w:r w:rsidR="00772831">
        <w:t>s from deploying the</w:t>
      </w:r>
      <w:r w:rsidRPr="002369C2">
        <w:t xml:space="preserve"> system</w:t>
      </w:r>
      <w:r w:rsidR="00055D27">
        <w:t xml:space="preserve">, </w:t>
      </w:r>
      <w:r>
        <w:t xml:space="preserve">the </w:t>
      </w:r>
      <w:r w:rsidR="00772831">
        <w:t xml:space="preserve">system </w:t>
      </w:r>
      <w:r>
        <w:t>outputs,</w:t>
      </w:r>
      <w:r w:rsidRPr="002369C2">
        <w:t xml:space="preserve"> and the functional area</w:t>
      </w:r>
      <w:r w:rsidR="00477438">
        <w:t xml:space="preserve"> or </w:t>
      </w:r>
      <w:r w:rsidR="00772831">
        <w:t>role responsible</w:t>
      </w:r>
      <w:r w:rsidRPr="002369C2">
        <w:t>.</w:t>
      </w:r>
    </w:p>
    <w:p w14:paraId="34A9E856" w14:textId="7FCF77E3" w:rsidR="00943476" w:rsidRPr="00943476" w:rsidRDefault="00055D27" w:rsidP="00766FF7">
      <w:r>
        <w:t xml:space="preserve">Although </w:t>
      </w:r>
      <w:r w:rsidR="003841E8">
        <w:t xml:space="preserve">a </w:t>
      </w:r>
      <w:r w:rsidR="002369C2">
        <w:t>cost</w:t>
      </w:r>
      <w:r>
        <w:t>-</w:t>
      </w:r>
      <w:r w:rsidR="002369C2">
        <w:t>shared response can include costs associated with developing and maintaining WHS and related activities and tasks, the cost</w:t>
      </w:r>
      <w:r>
        <w:t>-</w:t>
      </w:r>
      <w:r w:rsidR="002369C2">
        <w:t>shared budget will not cover costs such as increased workers compensation costs for agencies. Some WHS costs will be cost shareable</w:t>
      </w:r>
      <w:r>
        <w:t>, whereas</w:t>
      </w:r>
      <w:r w:rsidR="002369C2">
        <w:t xml:space="preserve"> others will be considered normal commitments.</w:t>
      </w:r>
    </w:p>
    <w:p w14:paraId="1A700C26" w14:textId="7318D836" w:rsidR="00AC3281" w:rsidRPr="00E86BEB" w:rsidRDefault="00D97D86" w:rsidP="00A80AEB">
      <w:pPr>
        <w:pStyle w:val="Heading1"/>
      </w:pPr>
      <w:bookmarkStart w:id="92" w:name="_Toc529783795"/>
      <w:r>
        <w:lastRenderedPageBreak/>
        <w:t>10</w:t>
      </w:r>
      <w:r w:rsidR="00A80AEB">
        <w:tab/>
      </w:r>
      <w:r w:rsidR="00AC3281" w:rsidRPr="00E86BEB">
        <w:t xml:space="preserve">Animal </w:t>
      </w:r>
      <w:r w:rsidR="00232921">
        <w:t>w</w:t>
      </w:r>
      <w:r w:rsidR="00AC3281" w:rsidRPr="00E86BEB">
        <w:t>elfare</w:t>
      </w:r>
      <w:bookmarkEnd w:id="92"/>
    </w:p>
    <w:p w14:paraId="2CAE668C" w14:textId="09310CC7" w:rsidR="00BF19A4" w:rsidRPr="00067884" w:rsidRDefault="00BF19A4" w:rsidP="00766FF7">
      <w:r w:rsidRPr="006D5C1D">
        <w:t xml:space="preserve">Animal welfare must be a consideration for any </w:t>
      </w:r>
      <w:r w:rsidR="00C01FFE">
        <w:t xml:space="preserve">response </w:t>
      </w:r>
      <w:r w:rsidRPr="006D5C1D">
        <w:t xml:space="preserve">actions that will affect the welfare of </w:t>
      </w:r>
      <w:r w:rsidR="00C01FFE">
        <w:t xml:space="preserve">any </w:t>
      </w:r>
      <w:r w:rsidRPr="006D5C1D">
        <w:t>animals</w:t>
      </w:r>
      <w:r w:rsidR="00C01FFE">
        <w:t xml:space="preserve"> – production or wildlife</w:t>
      </w:r>
      <w:r w:rsidRPr="006D5C1D">
        <w:t>.</w:t>
      </w:r>
      <w:r w:rsidR="00E86BEB" w:rsidRPr="006D5C1D">
        <w:t xml:space="preserve"> Response managers will need to be able to show </w:t>
      </w:r>
      <w:r w:rsidR="00835D45">
        <w:t xml:space="preserve">that </w:t>
      </w:r>
      <w:r w:rsidR="00E86BEB" w:rsidRPr="006D5C1D">
        <w:t xml:space="preserve">they have considered animal welfare for activities such as surveillance </w:t>
      </w:r>
      <w:r w:rsidR="00835D45">
        <w:t>(</w:t>
      </w:r>
      <w:r w:rsidR="00E86BEB" w:rsidRPr="006D5C1D">
        <w:t>including restraint</w:t>
      </w:r>
      <w:r w:rsidR="00835D45">
        <w:t>);</w:t>
      </w:r>
      <w:r w:rsidR="00E86BEB" w:rsidRPr="006D5C1D">
        <w:t xml:space="preserve"> culling</w:t>
      </w:r>
      <w:r w:rsidR="00835D45">
        <w:t>;</w:t>
      </w:r>
      <w:r w:rsidR="00E86BEB" w:rsidRPr="006D5C1D">
        <w:t xml:space="preserve"> movement management</w:t>
      </w:r>
      <w:r w:rsidR="00835D45">
        <w:t>;</w:t>
      </w:r>
      <w:r w:rsidR="00E86BEB" w:rsidRPr="006D5C1D">
        <w:t xml:space="preserve"> habitat modification</w:t>
      </w:r>
      <w:r w:rsidR="00B41D73">
        <w:t xml:space="preserve"> </w:t>
      </w:r>
      <w:r w:rsidR="00835D45">
        <w:t>or</w:t>
      </w:r>
      <w:r w:rsidR="00B41D73">
        <w:t xml:space="preserve"> </w:t>
      </w:r>
      <w:r w:rsidR="00E86BEB" w:rsidRPr="006D5C1D">
        <w:t>destruction</w:t>
      </w:r>
      <w:r w:rsidR="00835D45">
        <w:t>;</w:t>
      </w:r>
      <w:r w:rsidR="00E86BEB" w:rsidRPr="006D5C1D">
        <w:t xml:space="preserve"> and accessibility to shelter, food and </w:t>
      </w:r>
      <w:r w:rsidR="00E86BEB" w:rsidRPr="00067884">
        <w:t xml:space="preserve">water. The measures used to ensure the welfare of wildlife must be visible and transparent. </w:t>
      </w:r>
    </w:p>
    <w:p w14:paraId="29E1764F" w14:textId="3CFBA7FC" w:rsidR="0049578B" w:rsidRPr="00C01FFE" w:rsidRDefault="00E86BEB" w:rsidP="00766FF7">
      <w:r w:rsidRPr="00FC6630">
        <w:t>The many m</w:t>
      </w:r>
      <w:r w:rsidR="0049578B" w:rsidRPr="00FC6630">
        <w:t xml:space="preserve">easures </w:t>
      </w:r>
      <w:r w:rsidRPr="00FC6630">
        <w:t xml:space="preserve">that are largely </w:t>
      </w:r>
      <w:r w:rsidR="0049578B" w:rsidRPr="00FC6630">
        <w:t xml:space="preserve">taken for granted with production animals </w:t>
      </w:r>
      <w:r w:rsidRPr="00FC6630">
        <w:t xml:space="preserve">may </w:t>
      </w:r>
      <w:r w:rsidR="0049578B" w:rsidRPr="00FC6630">
        <w:t xml:space="preserve">not </w:t>
      </w:r>
      <w:r w:rsidRPr="00FC6630">
        <w:t xml:space="preserve">be </w:t>
      </w:r>
      <w:r w:rsidR="0049578B" w:rsidRPr="00FC6630">
        <w:t>easily transferable to wildlife</w:t>
      </w:r>
      <w:r w:rsidRPr="00FC6630">
        <w:t xml:space="preserve">. </w:t>
      </w:r>
      <w:r w:rsidR="00C01FFE" w:rsidRPr="00067884">
        <w:t>For example, handling procedures to minimise any impact on animal</w:t>
      </w:r>
      <w:r w:rsidR="00C01FFE">
        <w:t xml:space="preserve"> welfare are well described and practi</w:t>
      </w:r>
      <w:r w:rsidR="00835D45">
        <w:t>s</w:t>
      </w:r>
      <w:r w:rsidR="00C01FFE">
        <w:t>ed</w:t>
      </w:r>
      <w:r w:rsidR="006068AF">
        <w:t xml:space="preserve"> for production animals</w:t>
      </w:r>
      <w:r w:rsidR="00C01FFE">
        <w:t>. This is seldom the case for wildlife.</w:t>
      </w:r>
    </w:p>
    <w:p w14:paraId="1B6E6F43" w14:textId="6D456A8E" w:rsidR="00AC3281" w:rsidRPr="00E86BEB" w:rsidRDefault="00A80AEB" w:rsidP="00A80AEB">
      <w:pPr>
        <w:pStyle w:val="Heading1"/>
      </w:pPr>
      <w:bookmarkStart w:id="93" w:name="_Toc529783796"/>
      <w:bookmarkStart w:id="94" w:name="_Hlk509220741"/>
      <w:r>
        <w:lastRenderedPageBreak/>
        <w:t>1</w:t>
      </w:r>
      <w:r w:rsidR="00D97D86">
        <w:t>1</w:t>
      </w:r>
      <w:r>
        <w:tab/>
      </w:r>
      <w:r w:rsidR="00AC3281" w:rsidRPr="00E86BEB">
        <w:t>Financ</w:t>
      </w:r>
      <w:r w:rsidR="006068AF">
        <w:t>e</w:t>
      </w:r>
      <w:r w:rsidR="00AC3281" w:rsidRPr="00E86BEB">
        <w:t xml:space="preserve"> and administration management</w:t>
      </w:r>
      <w:bookmarkEnd w:id="93"/>
      <w:r w:rsidR="00AC3281" w:rsidRPr="00E86BEB">
        <w:t xml:space="preserve"> </w:t>
      </w:r>
    </w:p>
    <w:bookmarkEnd w:id="94"/>
    <w:p w14:paraId="02BCC4F8" w14:textId="7A79E621" w:rsidR="00E86BEB" w:rsidRDefault="00E86BEB" w:rsidP="00766FF7">
      <w:r w:rsidRPr="006D5C1D">
        <w:t>The management of finances by the affected state</w:t>
      </w:r>
      <w:r w:rsidR="00B41D73">
        <w:t xml:space="preserve"> </w:t>
      </w:r>
      <w:r w:rsidR="004B291C">
        <w:t>or</w:t>
      </w:r>
      <w:r w:rsidR="00B41D73">
        <w:t xml:space="preserve"> </w:t>
      </w:r>
      <w:r w:rsidRPr="006D5C1D">
        <w:t xml:space="preserve">territory must be a priority from the start of a response. </w:t>
      </w:r>
    </w:p>
    <w:p w14:paraId="05D9F079" w14:textId="4146D6D3" w:rsidR="00E86BEB" w:rsidRPr="006D5C1D" w:rsidRDefault="00E86BEB" w:rsidP="00766FF7">
      <w:r w:rsidRPr="006D5C1D">
        <w:t>A dedicated charge</w:t>
      </w:r>
      <w:r w:rsidR="00B41D73">
        <w:t xml:space="preserve"> </w:t>
      </w:r>
      <w:r w:rsidR="006068AF">
        <w:t>or</w:t>
      </w:r>
      <w:r w:rsidR="00B41D73">
        <w:t xml:space="preserve"> </w:t>
      </w:r>
      <w:r w:rsidRPr="006D5C1D">
        <w:t xml:space="preserve">cost code for a response </w:t>
      </w:r>
      <w:r w:rsidR="00C01FFE">
        <w:t>must</w:t>
      </w:r>
      <w:r w:rsidRPr="006D5C1D">
        <w:t xml:space="preserve"> be established from the very start of </w:t>
      </w:r>
      <w:r w:rsidR="00835D45">
        <w:t>the</w:t>
      </w:r>
      <w:r w:rsidRPr="006D5C1D">
        <w:t xml:space="preserve"> response </w:t>
      </w:r>
      <w:r w:rsidR="00835D45">
        <w:t xml:space="preserve">– that is, </w:t>
      </w:r>
      <w:r w:rsidRPr="006D5C1D">
        <w:t xml:space="preserve">from the first investigation </w:t>
      </w:r>
      <w:r w:rsidR="00835D45">
        <w:t xml:space="preserve">– </w:t>
      </w:r>
      <w:r w:rsidRPr="006D5C1D">
        <w:t xml:space="preserve">and all costs </w:t>
      </w:r>
      <w:r w:rsidR="00835D45">
        <w:t xml:space="preserve">must be </w:t>
      </w:r>
      <w:r w:rsidRPr="006D5C1D">
        <w:t>attributed to that code.</w:t>
      </w:r>
      <w:r w:rsidR="00E95507" w:rsidRPr="006D5C1D">
        <w:t xml:space="preserve"> A single </w:t>
      </w:r>
      <w:r w:rsidR="00C01FFE">
        <w:t>state</w:t>
      </w:r>
      <w:r w:rsidR="00B41D73">
        <w:t xml:space="preserve"> </w:t>
      </w:r>
      <w:r w:rsidR="004B291C">
        <w:t>or</w:t>
      </w:r>
      <w:r w:rsidR="00B41D73">
        <w:t xml:space="preserve"> </w:t>
      </w:r>
      <w:r w:rsidR="00C01FFE">
        <w:t xml:space="preserve">territory </w:t>
      </w:r>
      <w:r w:rsidR="00E95507" w:rsidRPr="006D5C1D">
        <w:t xml:space="preserve">agency </w:t>
      </w:r>
      <w:r w:rsidR="00FB4A4B">
        <w:t>will</w:t>
      </w:r>
      <w:r w:rsidR="00E95507" w:rsidRPr="006D5C1D">
        <w:t xml:space="preserve"> be responsible for the financial management of a response. All agencies of the affected state</w:t>
      </w:r>
      <w:r w:rsidR="00B41D73">
        <w:t xml:space="preserve"> </w:t>
      </w:r>
      <w:r w:rsidR="004B291C">
        <w:t>or</w:t>
      </w:r>
      <w:r w:rsidR="00B41D73">
        <w:t xml:space="preserve"> </w:t>
      </w:r>
      <w:r w:rsidR="00E95507" w:rsidRPr="006D5C1D">
        <w:t xml:space="preserve">territory </w:t>
      </w:r>
      <w:r w:rsidR="00FB4A4B">
        <w:t>will</w:t>
      </w:r>
      <w:r w:rsidR="00E95507" w:rsidRPr="006D5C1D">
        <w:t xml:space="preserve"> consolidate their financial management through the designated lead agency.</w:t>
      </w:r>
    </w:p>
    <w:p w14:paraId="369DD6E0" w14:textId="598E53F3" w:rsidR="00E95507" w:rsidRPr="006D5C1D" w:rsidRDefault="00E95507" w:rsidP="00766FF7">
      <w:pPr>
        <w:pStyle w:val="NormalBeforeBullet"/>
      </w:pPr>
      <w:r w:rsidRPr="006D5C1D">
        <w:t xml:space="preserve">Response costs </w:t>
      </w:r>
      <w:r w:rsidR="006D5C1D">
        <w:t>are</w:t>
      </w:r>
      <w:r w:rsidRPr="006D5C1D">
        <w:t xml:space="preserve"> classified as</w:t>
      </w:r>
      <w:r w:rsidR="00013912">
        <w:t>:</w:t>
      </w:r>
      <w:r w:rsidRPr="006D5C1D">
        <w:t xml:space="preserve"> </w:t>
      </w:r>
    </w:p>
    <w:p w14:paraId="2F247B6A" w14:textId="43209B95" w:rsidR="00E95507" w:rsidRPr="00FC6630" w:rsidRDefault="00835D45" w:rsidP="00766FF7">
      <w:pPr>
        <w:pStyle w:val="Bullet"/>
      </w:pPr>
      <w:r>
        <w:t>n</w:t>
      </w:r>
      <w:r w:rsidR="00E95507" w:rsidRPr="00FC6630">
        <w:t xml:space="preserve">ormal </w:t>
      </w:r>
      <w:r>
        <w:t>c</w:t>
      </w:r>
      <w:r w:rsidR="00E95507" w:rsidRPr="00FC6630">
        <w:t>ommitments (in</w:t>
      </w:r>
      <w:r>
        <w:t>-</w:t>
      </w:r>
      <w:r w:rsidR="005801CE" w:rsidRPr="00FC6630">
        <w:t>kind costs</w:t>
      </w:r>
      <w:r w:rsidR="00E95507" w:rsidRPr="00FC6630">
        <w:t>)</w:t>
      </w:r>
      <w:r>
        <w:t>,</w:t>
      </w:r>
      <w:r w:rsidR="00E95507" w:rsidRPr="00FC6630">
        <w:t xml:space="preserve"> including costs that</w:t>
      </w:r>
      <w:r w:rsidR="00C01FFE" w:rsidRPr="00FC6630">
        <w:t xml:space="preserve"> an </w:t>
      </w:r>
      <w:r w:rsidR="00E95507" w:rsidRPr="00FC6630">
        <w:t xml:space="preserve">agency would usually incur to carry </w:t>
      </w:r>
      <w:r>
        <w:t xml:space="preserve">out </w:t>
      </w:r>
      <w:r w:rsidR="00691E13">
        <w:t>its</w:t>
      </w:r>
      <w:r w:rsidR="00691E13" w:rsidRPr="00FC6630">
        <w:t xml:space="preserve"> </w:t>
      </w:r>
      <w:r w:rsidR="00E95507" w:rsidRPr="00FC6630">
        <w:t xml:space="preserve">normal activities </w:t>
      </w:r>
      <w:r>
        <w:t>(</w:t>
      </w:r>
      <w:r w:rsidR="00E95507" w:rsidRPr="00FC6630">
        <w:t>eg</w:t>
      </w:r>
      <w:r>
        <w:t> </w:t>
      </w:r>
      <w:r w:rsidR="00E95507" w:rsidRPr="00FC6630">
        <w:t>staff salaries excluding response overtime, infrastructure costs</w:t>
      </w:r>
      <w:r>
        <w:t>)</w:t>
      </w:r>
      <w:r w:rsidR="00E95507" w:rsidRPr="00FC6630">
        <w:t xml:space="preserve"> </w:t>
      </w:r>
    </w:p>
    <w:p w14:paraId="04040CF8" w14:textId="07D363DE" w:rsidR="00E95507" w:rsidRPr="006D5C1D" w:rsidRDefault="00835D45" w:rsidP="00230CCC">
      <w:pPr>
        <w:pStyle w:val="BulletLast"/>
      </w:pPr>
      <w:r>
        <w:rPr>
          <w:bCs/>
        </w:rPr>
        <w:t>e</w:t>
      </w:r>
      <w:r w:rsidR="00E95507" w:rsidRPr="00FC6630">
        <w:rPr>
          <w:bCs/>
        </w:rPr>
        <w:t xml:space="preserve">ligible </w:t>
      </w:r>
      <w:r>
        <w:rPr>
          <w:bCs/>
        </w:rPr>
        <w:t>c</w:t>
      </w:r>
      <w:r w:rsidR="00F1230C" w:rsidRPr="00FC6630">
        <w:rPr>
          <w:bCs/>
        </w:rPr>
        <w:t>osts</w:t>
      </w:r>
      <w:r w:rsidR="00D65380" w:rsidRPr="00067884">
        <w:rPr>
          <w:bCs/>
        </w:rPr>
        <w:t>, which are</w:t>
      </w:r>
      <w:r w:rsidR="00F1230C" w:rsidRPr="00FC6630">
        <w:rPr>
          <w:bCs/>
        </w:rPr>
        <w:t xml:space="preserve"> </w:t>
      </w:r>
      <w:r w:rsidR="005A2393" w:rsidRPr="00FC6630">
        <w:rPr>
          <w:bCs/>
        </w:rPr>
        <w:t>the costs incurred when</w:t>
      </w:r>
      <w:r w:rsidR="005A2393">
        <w:t xml:space="preserve"> implementing a national biosecurity incident</w:t>
      </w:r>
      <w:r w:rsidR="005A2393">
        <w:rPr>
          <w:spacing w:val="-24"/>
        </w:rPr>
        <w:t xml:space="preserve"> </w:t>
      </w:r>
      <w:r w:rsidR="005A2393">
        <w:t>response that are over and above normal commitments</w:t>
      </w:r>
      <w:r w:rsidR="00D65380">
        <w:t>,</w:t>
      </w:r>
      <w:r w:rsidR="005A2393">
        <w:t xml:space="preserve"> </w:t>
      </w:r>
      <w:r w:rsidR="003A28A3">
        <w:t xml:space="preserve">and are </w:t>
      </w:r>
      <w:r w:rsidR="005A2393">
        <w:t>eligible for cost</w:t>
      </w:r>
      <w:r w:rsidR="003A28A3">
        <w:t xml:space="preserve"> </w:t>
      </w:r>
      <w:r w:rsidR="005A2393">
        <w:t>sharing</w:t>
      </w:r>
      <w:r w:rsidR="003A28A3">
        <w:t xml:space="preserve">. These costs </w:t>
      </w:r>
      <w:r w:rsidR="003A28A3" w:rsidRPr="006D5C1D">
        <w:t>includ</w:t>
      </w:r>
      <w:r w:rsidR="003A28A3">
        <w:t>e</w:t>
      </w:r>
      <w:r w:rsidR="003A28A3" w:rsidRPr="006D5C1D">
        <w:t xml:space="preserve"> overtime for staff, wage costs of contractors, </w:t>
      </w:r>
      <w:r w:rsidR="003A28A3">
        <w:t xml:space="preserve">cost of </w:t>
      </w:r>
      <w:r w:rsidR="003A28A3" w:rsidRPr="006D5C1D">
        <w:t>equipment hire, service provider costs, travel costs i</w:t>
      </w:r>
      <w:r w:rsidR="003A28A3">
        <w:t xml:space="preserve">ncluding accommodation, vehicle costs and </w:t>
      </w:r>
      <w:r w:rsidR="003A28A3" w:rsidRPr="006D5C1D">
        <w:t>airfares</w:t>
      </w:r>
      <w:r w:rsidR="003A28A3">
        <w:t>. Cost-shareable costs</w:t>
      </w:r>
      <w:r w:rsidR="005A2393">
        <w:t xml:space="preserve"> are set out in </w:t>
      </w:r>
      <w:bookmarkStart w:id="95" w:name="_Hlk527626052"/>
      <w:r w:rsidR="003A28A3">
        <w:t>I</w:t>
      </w:r>
      <w:r w:rsidR="005A2393">
        <w:t>tem</w:t>
      </w:r>
      <w:r w:rsidR="003A28A3">
        <w:rPr>
          <w:spacing w:val="-23"/>
        </w:rPr>
        <w:t> </w:t>
      </w:r>
      <w:r w:rsidR="005A2393">
        <w:t>3</w:t>
      </w:r>
      <w:bookmarkEnd w:id="95"/>
      <w:r w:rsidR="005A2393">
        <w:t xml:space="preserve"> of Schedule</w:t>
      </w:r>
      <w:r w:rsidR="003A28A3">
        <w:t> </w:t>
      </w:r>
      <w:r w:rsidR="005A2393">
        <w:t xml:space="preserve">5 of the </w:t>
      </w:r>
      <w:r w:rsidRPr="00EC0D05">
        <w:t>National Environmental Biosecurity Response Agreement</w:t>
      </w:r>
      <w:r>
        <w:t xml:space="preserve"> (</w:t>
      </w:r>
      <w:r w:rsidR="005A2393">
        <w:t>NEBRA</w:t>
      </w:r>
      <w:r>
        <w:t>).</w:t>
      </w:r>
      <w:r w:rsidR="005A2393" w:rsidRPr="006D5C1D">
        <w:t xml:space="preserve"> </w:t>
      </w:r>
    </w:p>
    <w:p w14:paraId="3377BB11" w14:textId="208B4D87" w:rsidR="00AB2D5B" w:rsidRDefault="00E95507" w:rsidP="00766FF7">
      <w:r w:rsidRPr="005D40A6">
        <w:t xml:space="preserve">A </w:t>
      </w:r>
      <w:r w:rsidR="00AB2D5B">
        <w:t xml:space="preserve">detailed </w:t>
      </w:r>
      <w:r w:rsidRPr="005D40A6">
        <w:t>response budget</w:t>
      </w:r>
      <w:r w:rsidR="005D40A6" w:rsidRPr="005D40A6">
        <w:t xml:space="preserve"> will need to be presented in conjunction with </w:t>
      </w:r>
      <w:r w:rsidR="004E3DF9" w:rsidRPr="005D40A6">
        <w:t>a</w:t>
      </w:r>
      <w:r w:rsidR="005D40A6" w:rsidRPr="005D40A6">
        <w:t xml:space="preserve"> </w:t>
      </w:r>
      <w:r w:rsidR="003A28A3" w:rsidRPr="00FC6630">
        <w:rPr>
          <w:bCs/>
        </w:rPr>
        <w:t xml:space="preserve">National Biosecurity </w:t>
      </w:r>
      <w:r w:rsidR="003A28A3">
        <w:rPr>
          <w:bCs/>
        </w:rPr>
        <w:t xml:space="preserve">Incident </w:t>
      </w:r>
      <w:r w:rsidR="003A28A3" w:rsidRPr="00FC6630">
        <w:rPr>
          <w:bCs/>
        </w:rPr>
        <w:t>Response Plan</w:t>
      </w:r>
      <w:r w:rsidR="003A28A3">
        <w:t xml:space="preserve"> (</w:t>
      </w:r>
      <w:r w:rsidR="00893238">
        <w:t>NRP</w:t>
      </w:r>
      <w:r w:rsidR="003A28A3">
        <w:t>)</w:t>
      </w:r>
      <w:r w:rsidR="005D40A6" w:rsidRPr="005D40A6">
        <w:t xml:space="preserve"> or any updated version of the </w:t>
      </w:r>
      <w:r w:rsidR="002A4A4B">
        <w:t>NRP</w:t>
      </w:r>
      <w:r w:rsidR="005D40A6" w:rsidRPr="005D40A6">
        <w:t>.</w:t>
      </w:r>
      <w:r w:rsidR="005D40A6">
        <w:t xml:space="preserve"> </w:t>
      </w:r>
      <w:r w:rsidR="00AB2D5B">
        <w:t>The affected state</w:t>
      </w:r>
      <w:r w:rsidR="00B41D73">
        <w:t xml:space="preserve"> </w:t>
      </w:r>
      <w:r w:rsidR="004B291C">
        <w:t>or</w:t>
      </w:r>
      <w:r w:rsidR="00B41D73">
        <w:t xml:space="preserve"> </w:t>
      </w:r>
      <w:r w:rsidR="00AB2D5B">
        <w:t xml:space="preserve">territory </w:t>
      </w:r>
      <w:r w:rsidR="00FB4A4B">
        <w:t>wi</w:t>
      </w:r>
      <w:r w:rsidR="004B291C">
        <w:t>ll</w:t>
      </w:r>
      <w:r w:rsidR="00AB2D5B">
        <w:t xml:space="preserve"> update </w:t>
      </w:r>
      <w:r w:rsidR="003A28A3">
        <w:t xml:space="preserve">its </w:t>
      </w:r>
      <w:r w:rsidR="00AB2D5B">
        <w:t xml:space="preserve">budget a number of times during a response. The initial budget is likely to cover </w:t>
      </w:r>
      <w:r w:rsidR="003A28A3">
        <w:t xml:space="preserve">only </w:t>
      </w:r>
      <w:r w:rsidR="00AB2D5B">
        <w:t xml:space="preserve">initial control and investigation measures. </w:t>
      </w:r>
    </w:p>
    <w:p w14:paraId="1D01E4F8" w14:textId="0D498129" w:rsidR="00E95507" w:rsidRPr="005D40A6" w:rsidRDefault="005D40A6" w:rsidP="00766FF7">
      <w:pPr>
        <w:pStyle w:val="NormalBeforeBullet"/>
      </w:pPr>
      <w:r>
        <w:t xml:space="preserve">The </w:t>
      </w:r>
      <w:r w:rsidR="00C01FFE">
        <w:t>state</w:t>
      </w:r>
      <w:r w:rsidR="00B41D73">
        <w:t xml:space="preserve"> </w:t>
      </w:r>
      <w:r w:rsidR="004B291C">
        <w:t>or</w:t>
      </w:r>
      <w:r w:rsidR="00B41D73">
        <w:t xml:space="preserve"> </w:t>
      </w:r>
      <w:r w:rsidR="00C01FFE">
        <w:t xml:space="preserve">territory </w:t>
      </w:r>
      <w:r w:rsidR="00470AEE">
        <w:t>response b</w:t>
      </w:r>
      <w:r w:rsidR="00AB2D5B">
        <w:t xml:space="preserve">udget will </w:t>
      </w:r>
      <w:r w:rsidR="00103ADF">
        <w:t>detail</w:t>
      </w:r>
      <w:r w:rsidR="00013912">
        <w:t>:</w:t>
      </w:r>
    </w:p>
    <w:p w14:paraId="67206144" w14:textId="65C00B3A" w:rsidR="006D5C1D" w:rsidRPr="00FC6630" w:rsidRDefault="003A28A3" w:rsidP="00766FF7">
      <w:pPr>
        <w:pStyle w:val="Bullet"/>
      </w:pPr>
      <w:r>
        <w:t>n</w:t>
      </w:r>
      <w:r w:rsidR="006D5C1D" w:rsidRPr="00FC6630">
        <w:t xml:space="preserve">ormal </w:t>
      </w:r>
      <w:r>
        <w:t>c</w:t>
      </w:r>
      <w:r w:rsidR="006D5C1D" w:rsidRPr="00FC6630">
        <w:t>ommitment</w:t>
      </w:r>
      <w:r>
        <w:t xml:space="preserve"> costs</w:t>
      </w:r>
      <w:r w:rsidR="006D5C1D" w:rsidRPr="00FC6630">
        <w:t xml:space="preserve"> </w:t>
      </w:r>
      <w:r w:rsidRPr="00067884">
        <w:t xml:space="preserve">and </w:t>
      </w:r>
      <w:r>
        <w:t>e</w:t>
      </w:r>
      <w:r w:rsidRPr="00067884">
        <w:t>li</w:t>
      </w:r>
      <w:r w:rsidRPr="00FC6630">
        <w:t xml:space="preserve">gible </w:t>
      </w:r>
      <w:r>
        <w:t>c</w:t>
      </w:r>
      <w:r w:rsidRPr="00FC6630">
        <w:t xml:space="preserve">osts </w:t>
      </w:r>
      <w:r w:rsidR="006D5C1D" w:rsidRPr="00FC6630">
        <w:t>of all agencies</w:t>
      </w:r>
    </w:p>
    <w:p w14:paraId="2DE553B9" w14:textId="137B9FDE" w:rsidR="006D5C1D" w:rsidRDefault="003A28A3" w:rsidP="00766FF7">
      <w:pPr>
        <w:pStyle w:val="BulletBeforeDash"/>
      </w:pPr>
      <w:r>
        <w:t>a</w:t>
      </w:r>
      <w:r w:rsidR="006D5C1D">
        <w:t xml:space="preserve"> breakdown of costs for response activities</w:t>
      </w:r>
      <w:r>
        <w:t>,</w:t>
      </w:r>
      <w:r w:rsidR="006D5C1D">
        <w:t xml:space="preserve"> showing costs</w:t>
      </w:r>
      <w:r w:rsidR="00C01FFE">
        <w:t xml:space="preserve"> for</w:t>
      </w:r>
    </w:p>
    <w:p w14:paraId="1BC6D26C" w14:textId="7F130BC7" w:rsidR="005D40A6" w:rsidRDefault="003A28A3" w:rsidP="00766FF7">
      <w:pPr>
        <w:pStyle w:val="Dash"/>
      </w:pPr>
      <w:r>
        <w:t>s</w:t>
      </w:r>
      <w:r w:rsidR="005D40A6">
        <w:t xml:space="preserve">taff </w:t>
      </w:r>
    </w:p>
    <w:p w14:paraId="38C35C33" w14:textId="5C63241C" w:rsidR="005D40A6" w:rsidRDefault="003A28A3" w:rsidP="00766FF7">
      <w:pPr>
        <w:pStyle w:val="Dash"/>
      </w:pPr>
      <w:r>
        <w:t>a</w:t>
      </w:r>
      <w:r w:rsidR="005D40A6">
        <w:t>gency staff</w:t>
      </w:r>
      <w:r>
        <w:t>,</w:t>
      </w:r>
      <w:r w:rsidR="005D40A6">
        <w:t xml:space="preserve"> including wages</w:t>
      </w:r>
      <w:r w:rsidR="00B41D73">
        <w:t xml:space="preserve"> </w:t>
      </w:r>
      <w:r>
        <w:t>and</w:t>
      </w:r>
      <w:r w:rsidR="00B41D73">
        <w:t xml:space="preserve"> </w:t>
      </w:r>
      <w:r w:rsidR="005D40A6">
        <w:t>salaries</w:t>
      </w:r>
    </w:p>
    <w:p w14:paraId="4196C51C" w14:textId="626D312B" w:rsidR="005D40A6" w:rsidRDefault="003A28A3" w:rsidP="00766FF7">
      <w:pPr>
        <w:pStyle w:val="Dash"/>
      </w:pPr>
      <w:r>
        <w:t>c</w:t>
      </w:r>
      <w:r w:rsidR="005D40A6">
        <w:t>ontracted staff</w:t>
      </w:r>
      <w:r>
        <w:t>,</w:t>
      </w:r>
      <w:r w:rsidR="005D40A6">
        <w:t xml:space="preserve"> including costs for consultants directly involved in the response</w:t>
      </w:r>
    </w:p>
    <w:p w14:paraId="2359921C" w14:textId="445E9F31" w:rsidR="005D40A6" w:rsidRDefault="003A28A3" w:rsidP="00766FF7">
      <w:pPr>
        <w:pStyle w:val="Dash"/>
      </w:pPr>
      <w:r>
        <w:t>v</w:t>
      </w:r>
      <w:r w:rsidR="005D40A6">
        <w:t>olunteer</w:t>
      </w:r>
      <w:r>
        <w:t>s</w:t>
      </w:r>
    </w:p>
    <w:p w14:paraId="1E2E3C4A" w14:textId="7D0DF217" w:rsidR="005D40A6" w:rsidRDefault="003A28A3" w:rsidP="00766FF7">
      <w:pPr>
        <w:pStyle w:val="DashLast"/>
      </w:pPr>
      <w:r>
        <w:t>a</w:t>
      </w:r>
      <w:r w:rsidR="005D40A6">
        <w:t>llowances</w:t>
      </w:r>
    </w:p>
    <w:p w14:paraId="218F40DB" w14:textId="1B0D4DA6" w:rsidR="005D40A6" w:rsidRDefault="003A28A3" w:rsidP="00766FF7">
      <w:pPr>
        <w:pStyle w:val="BulletBeforeDash"/>
      </w:pPr>
      <w:r>
        <w:t>o</w:t>
      </w:r>
      <w:r w:rsidR="005D40A6">
        <w:t>perating costs</w:t>
      </w:r>
    </w:p>
    <w:p w14:paraId="3E278269" w14:textId="06E97A71" w:rsidR="005D40A6" w:rsidRDefault="003A28A3" w:rsidP="00766FF7">
      <w:pPr>
        <w:pStyle w:val="Dash"/>
      </w:pPr>
      <w:r>
        <w:t>a</w:t>
      </w:r>
      <w:r w:rsidR="005D40A6">
        <w:t xml:space="preserve">dditional staff costs </w:t>
      </w:r>
      <w:r>
        <w:t xml:space="preserve">(eg </w:t>
      </w:r>
      <w:r w:rsidR="005D40A6" w:rsidRPr="006D5C1D">
        <w:t xml:space="preserve">costs of backfilling </w:t>
      </w:r>
      <w:r w:rsidR="00FA6F55">
        <w:t xml:space="preserve">agency </w:t>
      </w:r>
      <w:r w:rsidR="005D40A6" w:rsidRPr="006D5C1D">
        <w:t xml:space="preserve">staff positions if </w:t>
      </w:r>
      <w:r>
        <w:t xml:space="preserve">the </w:t>
      </w:r>
      <w:r w:rsidRPr="00543625">
        <w:t>National Biosecurity Management Group</w:t>
      </w:r>
      <w:r w:rsidRPr="006D5C1D">
        <w:t xml:space="preserve"> </w:t>
      </w:r>
      <w:r>
        <w:t xml:space="preserve">– </w:t>
      </w:r>
      <w:r w:rsidR="005D40A6" w:rsidRPr="006D5C1D">
        <w:t xml:space="preserve">NBMG </w:t>
      </w:r>
      <w:r>
        <w:t xml:space="preserve">– </w:t>
      </w:r>
      <w:r w:rsidR="005D40A6" w:rsidRPr="006D5C1D">
        <w:t>has approved th</w:t>
      </w:r>
      <w:r>
        <w:t>e</w:t>
      </w:r>
      <w:r w:rsidR="005D40A6" w:rsidRPr="006D5C1D">
        <w:t>se costs</w:t>
      </w:r>
      <w:r w:rsidR="00691E13">
        <w:t>)</w:t>
      </w:r>
    </w:p>
    <w:p w14:paraId="1E1EC157" w14:textId="460B0097" w:rsidR="005D40A6" w:rsidRDefault="003A28A3" w:rsidP="00766FF7">
      <w:pPr>
        <w:pStyle w:val="Dash"/>
      </w:pPr>
      <w:r>
        <w:t>l</w:t>
      </w:r>
      <w:r w:rsidR="005D40A6">
        <w:t>aboratory costs</w:t>
      </w:r>
    </w:p>
    <w:p w14:paraId="17769086" w14:textId="2F227BE5" w:rsidR="005D40A6" w:rsidRDefault="003A28A3" w:rsidP="00766FF7">
      <w:pPr>
        <w:pStyle w:val="Dash"/>
      </w:pPr>
      <w:r>
        <w:t>costs of s</w:t>
      </w:r>
      <w:r w:rsidR="005D40A6">
        <w:t>tores and equipment</w:t>
      </w:r>
    </w:p>
    <w:p w14:paraId="72E5215E" w14:textId="58F7CE44" w:rsidR="005D40A6" w:rsidRDefault="003A28A3" w:rsidP="00766FF7">
      <w:pPr>
        <w:pStyle w:val="Dash"/>
      </w:pPr>
      <w:r>
        <w:t>o</w:t>
      </w:r>
      <w:r w:rsidR="005D40A6">
        <w:t>ther essential operating costs</w:t>
      </w:r>
    </w:p>
    <w:p w14:paraId="0587AE06" w14:textId="35B0EAE2" w:rsidR="005D40A6" w:rsidRDefault="003A28A3" w:rsidP="00766FF7">
      <w:pPr>
        <w:pStyle w:val="DashLast"/>
      </w:pPr>
      <w:r>
        <w:t>c</w:t>
      </w:r>
      <w:r w:rsidR="005D40A6">
        <w:t xml:space="preserve">apital costs </w:t>
      </w:r>
      <w:r>
        <w:t>(</w:t>
      </w:r>
      <w:r w:rsidR="005D40A6">
        <w:t>can include capital costs for essential equipment but not capital works</w:t>
      </w:r>
      <w:r>
        <w:t>)</w:t>
      </w:r>
    </w:p>
    <w:p w14:paraId="47F5AC5B" w14:textId="679BFADA" w:rsidR="005D40A6" w:rsidRDefault="003A28A3" w:rsidP="00230CCC">
      <w:pPr>
        <w:pStyle w:val="BulletLast"/>
      </w:pPr>
      <w:r>
        <w:t>o</w:t>
      </w:r>
      <w:r w:rsidR="005D40A6">
        <w:t>wner reimbursement costs</w:t>
      </w:r>
      <w:r w:rsidR="00AB2D5B">
        <w:t xml:space="preserve"> for enterprises directly affected by a response.</w:t>
      </w:r>
    </w:p>
    <w:p w14:paraId="63CF1906" w14:textId="43F71F16" w:rsidR="006068AF" w:rsidRDefault="006068AF" w:rsidP="00766FF7">
      <w:r>
        <w:t xml:space="preserve">The affected state or territory must be able to show in considerable detail how </w:t>
      </w:r>
      <w:r w:rsidR="003A28A3">
        <w:t xml:space="preserve">it </w:t>
      </w:r>
      <w:r>
        <w:t>determined the costs in the presented budge</w:t>
      </w:r>
      <w:r w:rsidR="003A28A3">
        <w:t>t</w:t>
      </w:r>
      <w:r>
        <w:t>.</w:t>
      </w:r>
    </w:p>
    <w:p w14:paraId="3E126541" w14:textId="51CD3545" w:rsidR="00E95507" w:rsidRDefault="005D40A6" w:rsidP="00766FF7">
      <w:r>
        <w:lastRenderedPageBreak/>
        <w:t>Laboratory costs c</w:t>
      </w:r>
      <w:r w:rsidR="00E95507" w:rsidRPr="006D5C1D">
        <w:t xml:space="preserve">an include costs for diagnostic and laboratory testing </w:t>
      </w:r>
      <w:r w:rsidR="006D5C1D" w:rsidRPr="006D5C1D">
        <w:t>if the work is by an external service and/or</w:t>
      </w:r>
      <w:r w:rsidR="00E95507" w:rsidRPr="006D5C1D">
        <w:t xml:space="preserve"> </w:t>
      </w:r>
      <w:r w:rsidR="003A28A3">
        <w:t xml:space="preserve">the costs </w:t>
      </w:r>
      <w:r w:rsidR="00E95507" w:rsidRPr="006D5C1D">
        <w:t>are above the normal rates for that work</w:t>
      </w:r>
      <w:r w:rsidR="006D5C1D" w:rsidRPr="006D5C1D">
        <w:t xml:space="preserve">. Additional costs </w:t>
      </w:r>
      <w:r w:rsidR="003A28A3">
        <w:t>for</w:t>
      </w:r>
      <w:r w:rsidR="003A28A3" w:rsidRPr="006D5C1D">
        <w:t xml:space="preserve"> </w:t>
      </w:r>
      <w:r w:rsidR="006D5C1D" w:rsidRPr="006D5C1D">
        <w:t>a government laboratory</w:t>
      </w:r>
      <w:r w:rsidR="003A28A3">
        <w:t>,</w:t>
      </w:r>
      <w:r w:rsidR="006D5C1D" w:rsidRPr="006D5C1D">
        <w:t xml:space="preserve"> such as overtime </w:t>
      </w:r>
      <w:r w:rsidR="003A28A3">
        <w:t>for</w:t>
      </w:r>
      <w:r w:rsidR="003A28A3" w:rsidRPr="006D5C1D">
        <w:t xml:space="preserve"> </w:t>
      </w:r>
      <w:r w:rsidR="006D5C1D" w:rsidRPr="006D5C1D">
        <w:t>laboratory staff</w:t>
      </w:r>
      <w:r w:rsidR="003A28A3">
        <w:t>,</w:t>
      </w:r>
      <w:r w:rsidR="006D5C1D" w:rsidRPr="006D5C1D">
        <w:t xml:space="preserve"> </w:t>
      </w:r>
      <w:r w:rsidR="00691E13">
        <w:t>are</w:t>
      </w:r>
      <w:r w:rsidR="006D5C1D" w:rsidRPr="006D5C1D">
        <w:t xml:space="preserve"> eligible cost</w:t>
      </w:r>
      <w:r w:rsidR="00691E13">
        <w:t>s</w:t>
      </w:r>
      <w:r w:rsidR="006D5C1D" w:rsidRPr="006D5C1D">
        <w:t>. The everyday full cost of a laboratory test is not an eligible cost.</w:t>
      </w:r>
    </w:p>
    <w:p w14:paraId="3C70A319" w14:textId="488183BD" w:rsidR="00E31052" w:rsidRDefault="00F46794" w:rsidP="00766FF7">
      <w:r>
        <w:t>The budget m</w:t>
      </w:r>
      <w:r w:rsidR="006D5C1D" w:rsidRPr="006D5C1D">
        <w:t xml:space="preserve">ust include costs for a </w:t>
      </w:r>
      <w:r w:rsidR="000D660C" w:rsidRPr="006D5C1D">
        <w:t>third-party</w:t>
      </w:r>
      <w:r w:rsidR="006D5C1D" w:rsidRPr="006D5C1D">
        <w:t xml:space="preserve"> audit of finances upon completion of the response. The auditors will validate budget processes, correct attribution of costs (normal commitments compared </w:t>
      </w:r>
      <w:r w:rsidR="003A28A3">
        <w:t>with</w:t>
      </w:r>
      <w:r w:rsidR="003A28A3" w:rsidRPr="006D5C1D">
        <w:t xml:space="preserve"> </w:t>
      </w:r>
      <w:r w:rsidR="006D5C1D" w:rsidRPr="006D5C1D">
        <w:t>eligible costs) and reasonableness of expenditure</w:t>
      </w:r>
      <w:r w:rsidR="003A28A3">
        <w:t>,</w:t>
      </w:r>
      <w:r w:rsidR="006D5C1D" w:rsidRPr="006D5C1D">
        <w:t xml:space="preserve"> as well as the overall bottom</w:t>
      </w:r>
      <w:r w:rsidR="00AB2D5B">
        <w:t xml:space="preserve"> </w:t>
      </w:r>
      <w:r w:rsidR="006D5C1D" w:rsidRPr="006D5C1D">
        <w:t>line.</w:t>
      </w:r>
    </w:p>
    <w:p w14:paraId="2746D66C" w14:textId="015EDEEE" w:rsidR="00AB2D5B" w:rsidRDefault="00AB2D5B" w:rsidP="00766FF7">
      <w:pPr>
        <w:pStyle w:val="NormalBeforeBullet"/>
      </w:pPr>
      <w:r>
        <w:t xml:space="preserve">The </w:t>
      </w:r>
      <w:r w:rsidR="003A28A3">
        <w:t>owner reimbursement costs</w:t>
      </w:r>
      <w:r w:rsidR="003A28A3" w:rsidDel="003A28A3">
        <w:t xml:space="preserve"> </w:t>
      </w:r>
      <w:r w:rsidR="00103ADF">
        <w:t>under the NEBRA can pay for specified and validated costs of an affected</w:t>
      </w:r>
      <w:r w:rsidR="00B41D73">
        <w:t xml:space="preserve"> </w:t>
      </w:r>
      <w:r w:rsidR="00103ADF">
        <w:t xml:space="preserve">property owner. These costs must be in a budget and </w:t>
      </w:r>
      <w:r>
        <w:t>may include</w:t>
      </w:r>
      <w:r w:rsidR="00905AB3">
        <w:t>:</w:t>
      </w:r>
    </w:p>
    <w:p w14:paraId="6152D7C7" w14:textId="2F9AFC85" w:rsidR="00AB2D5B" w:rsidRDefault="003A28A3" w:rsidP="00766FF7">
      <w:pPr>
        <w:pStyle w:val="Bullet"/>
      </w:pPr>
      <w:r>
        <w:t>d</w:t>
      </w:r>
      <w:r w:rsidR="00AB2D5B" w:rsidRPr="00AB2D5B">
        <w:t>irect eradication costs</w:t>
      </w:r>
    </w:p>
    <w:p w14:paraId="422CD658" w14:textId="67D64CA9" w:rsidR="00AB2D5B" w:rsidRDefault="003A28A3" w:rsidP="00766FF7">
      <w:pPr>
        <w:pStyle w:val="Bullet"/>
      </w:pPr>
      <w:r>
        <w:t>c</w:t>
      </w:r>
      <w:r w:rsidR="00AB2D5B" w:rsidRPr="00AB2D5B">
        <w:t>osts for destroyed property</w:t>
      </w:r>
    </w:p>
    <w:p w14:paraId="4D27BAC5" w14:textId="194E0754" w:rsidR="00AB2D5B" w:rsidRDefault="003A28A3" w:rsidP="00766FF7">
      <w:pPr>
        <w:pStyle w:val="Bullet"/>
      </w:pPr>
      <w:r>
        <w:t>c</w:t>
      </w:r>
      <w:r w:rsidR="00AB2D5B" w:rsidRPr="00AB2D5B">
        <w:t xml:space="preserve">osts for additional measures </w:t>
      </w:r>
      <w:r>
        <w:t xml:space="preserve">(eg </w:t>
      </w:r>
      <w:r w:rsidR="00AB2D5B" w:rsidRPr="00AB2D5B">
        <w:t>cleaning, pest control</w:t>
      </w:r>
      <w:r>
        <w:t>)</w:t>
      </w:r>
    </w:p>
    <w:p w14:paraId="0834F861" w14:textId="2F9E166F" w:rsidR="00AB2D5B" w:rsidRDefault="003A28A3" w:rsidP="00230CCC">
      <w:pPr>
        <w:pStyle w:val="BulletLast"/>
      </w:pPr>
      <w:r>
        <w:t>c</w:t>
      </w:r>
      <w:r w:rsidR="00AB2D5B" w:rsidRPr="00AB2D5B">
        <w:t xml:space="preserve">osts for </w:t>
      </w:r>
      <w:r>
        <w:t xml:space="preserve">activities such as </w:t>
      </w:r>
      <w:r w:rsidR="00AB2D5B" w:rsidRPr="00AB2D5B">
        <w:t>relocation, housing, breeding</w:t>
      </w:r>
      <w:r>
        <w:t xml:space="preserve"> and</w:t>
      </w:r>
      <w:r w:rsidR="00AB2D5B" w:rsidRPr="00AB2D5B">
        <w:t xml:space="preserve"> rehab</w:t>
      </w:r>
      <w:r w:rsidR="00AB2D5B">
        <w:t>ilitation</w:t>
      </w:r>
      <w:r w:rsidR="00B7667A">
        <w:t xml:space="preserve"> of native species that were used as a justification for the NBMG to regard the response as nationally significant.</w:t>
      </w:r>
    </w:p>
    <w:p w14:paraId="230EC6F3" w14:textId="5ECF6329" w:rsidR="004B0FB2" w:rsidRDefault="00C01FFE" w:rsidP="00766FF7">
      <w:r>
        <w:t>The budget must include costs for stand</w:t>
      </w:r>
      <w:r w:rsidR="003A28A3">
        <w:t>-</w:t>
      </w:r>
      <w:r>
        <w:t xml:space="preserve">down </w:t>
      </w:r>
      <w:r w:rsidR="004B0FB2">
        <w:t xml:space="preserve">of </w:t>
      </w:r>
      <w:r w:rsidR="00103ADF">
        <w:t xml:space="preserve">the </w:t>
      </w:r>
      <w:r w:rsidR="004B0FB2">
        <w:t>coordination and control centres. These costs will include those for</w:t>
      </w:r>
      <w:r>
        <w:t xml:space="preserve"> records management</w:t>
      </w:r>
      <w:r w:rsidR="003A28A3">
        <w:t>,</w:t>
      </w:r>
      <w:r>
        <w:t xml:space="preserve"> and disposal of unused</w:t>
      </w:r>
      <w:r w:rsidR="00204379">
        <w:t xml:space="preserve"> and s</w:t>
      </w:r>
      <w:r>
        <w:t xml:space="preserve">urplus stores and equipment. </w:t>
      </w:r>
      <w:r w:rsidR="004B0FB2">
        <w:t>All stores and equipment remaining at the end of a response must be disposed of in accordance with government procedures. The funds arising from the disposal must be returned to the parties.</w:t>
      </w:r>
    </w:p>
    <w:p w14:paraId="233147BF" w14:textId="74CC74E7" w:rsidR="00C01FFE" w:rsidRDefault="003A28A3" w:rsidP="00766FF7">
      <w:r>
        <w:t>S</w:t>
      </w:r>
      <w:r w:rsidR="004B0FB2">
        <w:t xml:space="preserve">uccessful management of the budget will result from a strong commitment to process, </w:t>
      </w:r>
      <w:r w:rsidR="004F7DDE">
        <w:t xml:space="preserve">and </w:t>
      </w:r>
      <w:r w:rsidR="004B0FB2">
        <w:t xml:space="preserve">designated personnel for acquisition of all resources (stores, services, equipment, people), accounts receivable and payable, stores management and financial reporting. Clear business rules must be in place early in the response </w:t>
      </w:r>
      <w:r w:rsidR="004F7DDE">
        <w:t>(</w:t>
      </w:r>
      <w:r w:rsidR="004B0FB2">
        <w:t>eg</w:t>
      </w:r>
      <w:r w:rsidR="004F7DDE">
        <w:t> for</w:t>
      </w:r>
      <w:r w:rsidR="004B0FB2">
        <w:t xml:space="preserve"> use of personal</w:t>
      </w:r>
      <w:r w:rsidR="00691E13">
        <w:t>-</w:t>
      </w:r>
      <w:r w:rsidR="004B0FB2">
        <w:t>issue credit cards</w:t>
      </w:r>
      <w:r w:rsidR="004F7DDE">
        <w:t>)</w:t>
      </w:r>
      <w:r w:rsidR="004B0FB2">
        <w:t>. The acquisition of a service that is all</w:t>
      </w:r>
      <w:r w:rsidR="004F7DDE">
        <w:t>-</w:t>
      </w:r>
      <w:r w:rsidR="004B0FB2">
        <w:t xml:space="preserve">inclusive rather than separately acquiring stores, equipment and people has benefits beyond easier financial management and efficient use of the resources. </w:t>
      </w:r>
    </w:p>
    <w:p w14:paraId="69888E78" w14:textId="3D0E8741" w:rsidR="00E31052" w:rsidRDefault="009676DA" w:rsidP="00766FF7">
      <w:r>
        <w:t xml:space="preserve">The NEBRA </w:t>
      </w:r>
      <w:r w:rsidR="00103ADF">
        <w:t xml:space="preserve">has no </w:t>
      </w:r>
      <w:r>
        <w:t xml:space="preserve">provision to cover </w:t>
      </w:r>
      <w:r w:rsidR="000D660C">
        <w:t xml:space="preserve">costs </w:t>
      </w:r>
      <w:r w:rsidR="000D660C" w:rsidRPr="00E31052">
        <w:t>to</w:t>
      </w:r>
      <w:r w:rsidR="00E31052" w:rsidRPr="00E31052">
        <w:t xml:space="preserve"> replace sp</w:t>
      </w:r>
      <w:r w:rsidR="00C03300">
        <w:t>ecies</w:t>
      </w:r>
      <w:r w:rsidR="00E31052" w:rsidRPr="00E31052">
        <w:t xml:space="preserve">, </w:t>
      </w:r>
      <w:r w:rsidR="004F7DDE">
        <w:t xml:space="preserve">costs for </w:t>
      </w:r>
      <w:r w:rsidR="00E31052" w:rsidRPr="00E31052">
        <w:t xml:space="preserve">offence conviction, </w:t>
      </w:r>
      <w:r w:rsidR="00C03300">
        <w:t xml:space="preserve">and </w:t>
      </w:r>
      <w:r w:rsidR="00E31052" w:rsidRPr="00E31052">
        <w:t>consequential loss</w:t>
      </w:r>
      <w:r w:rsidR="00C03300">
        <w:t>es</w:t>
      </w:r>
      <w:r w:rsidR="00E31052" w:rsidRPr="00E31052">
        <w:t xml:space="preserve"> including loss of profits</w:t>
      </w:r>
      <w:r w:rsidR="00C03300">
        <w:t>.</w:t>
      </w:r>
    </w:p>
    <w:p w14:paraId="760F2382" w14:textId="77777777" w:rsidR="00E31052" w:rsidRDefault="00E31052" w:rsidP="00766FF7">
      <w:r>
        <w:t>A response budget w</w:t>
      </w:r>
      <w:r w:rsidRPr="006D5C1D">
        <w:t>ill not include costs for recovery</w:t>
      </w:r>
      <w:r>
        <w:t>.</w:t>
      </w:r>
    </w:p>
    <w:p w14:paraId="40A9FEB7" w14:textId="2DC7C539" w:rsidR="006D5C1D" w:rsidRDefault="00AB2D5B" w:rsidP="00766FF7">
      <w:r>
        <w:t xml:space="preserve">There is provision for </w:t>
      </w:r>
      <w:r w:rsidR="006068AF">
        <w:t xml:space="preserve">the </w:t>
      </w:r>
      <w:r>
        <w:t>private funding of some response costs. Any private contributions are considered on a case</w:t>
      </w:r>
      <w:r w:rsidR="004F7DDE">
        <w:t>-</w:t>
      </w:r>
      <w:r>
        <w:t>by</w:t>
      </w:r>
      <w:r w:rsidR="004F7DDE">
        <w:t>-</w:t>
      </w:r>
      <w:r>
        <w:t xml:space="preserve">case basis by </w:t>
      </w:r>
      <w:r w:rsidR="004F7DDE">
        <w:t xml:space="preserve">the </w:t>
      </w:r>
      <w:r>
        <w:t>NBMG.</w:t>
      </w:r>
    </w:p>
    <w:p w14:paraId="6446A49E" w14:textId="2A87EA07" w:rsidR="00812AAC" w:rsidRPr="00067884" w:rsidRDefault="005801CE" w:rsidP="00766FF7">
      <w:r w:rsidRPr="00067884">
        <w:t>All expenditure must be in accordance with government policies and procedures.</w:t>
      </w:r>
    </w:p>
    <w:p w14:paraId="7DC70E23" w14:textId="0F5ABF82" w:rsidR="00C03300" w:rsidRPr="00067884" w:rsidRDefault="004F7DDE" w:rsidP="00766FF7">
      <w:r>
        <w:t xml:space="preserve">In </w:t>
      </w:r>
      <w:r w:rsidRPr="00FC6630">
        <w:t>approving a response budget</w:t>
      </w:r>
      <w:r>
        <w:t xml:space="preserve">, the </w:t>
      </w:r>
      <w:r w:rsidR="00C03300" w:rsidRPr="00FC6630">
        <w:t>NBMG will set an upper limit for the budget and a limit that will trigger a review of the response progress against the proposed budget</w:t>
      </w:r>
      <w:r w:rsidR="00C03300" w:rsidRPr="00067884">
        <w:t xml:space="preserve">. </w:t>
      </w:r>
    </w:p>
    <w:p w14:paraId="0981FD5A" w14:textId="01480041" w:rsidR="00C03300" w:rsidRPr="00C03300" w:rsidRDefault="004F7DDE" w:rsidP="00766FF7">
      <w:r>
        <w:t>Parties</w:t>
      </w:r>
      <w:r w:rsidR="00C03300">
        <w:t xml:space="preserve"> other than the affected state</w:t>
      </w:r>
      <w:r w:rsidR="00204379">
        <w:t xml:space="preserve"> </w:t>
      </w:r>
      <w:r w:rsidR="004B291C">
        <w:t>or</w:t>
      </w:r>
      <w:r w:rsidR="00204379">
        <w:t xml:space="preserve"> </w:t>
      </w:r>
      <w:r w:rsidR="00C03300">
        <w:t xml:space="preserve">territory that incur costs for activities specified in the </w:t>
      </w:r>
      <w:r w:rsidR="00893238">
        <w:t>NRP</w:t>
      </w:r>
      <w:r>
        <w:t xml:space="preserve"> (</w:t>
      </w:r>
      <w:r w:rsidR="00C03300">
        <w:t>eg</w:t>
      </w:r>
      <w:r>
        <w:t> </w:t>
      </w:r>
      <w:r w:rsidR="00C03300">
        <w:t>provid</w:t>
      </w:r>
      <w:r>
        <w:t>ing</w:t>
      </w:r>
      <w:r w:rsidR="00C03300">
        <w:t xml:space="preserve"> staff to assist </w:t>
      </w:r>
      <w:r>
        <w:t xml:space="preserve">the </w:t>
      </w:r>
      <w:r w:rsidR="00C03300">
        <w:t>affected state</w:t>
      </w:r>
      <w:r w:rsidR="00204379">
        <w:t xml:space="preserve"> </w:t>
      </w:r>
      <w:r w:rsidR="00134719">
        <w:t>or</w:t>
      </w:r>
      <w:r w:rsidR="00231D4A">
        <w:t xml:space="preserve"> </w:t>
      </w:r>
      <w:r w:rsidR="00C03300">
        <w:t>territory</w:t>
      </w:r>
      <w:r>
        <w:t>)</w:t>
      </w:r>
      <w:r w:rsidR="00C03300">
        <w:t xml:space="preserve"> </w:t>
      </w:r>
      <w:r w:rsidR="00FB4A4B">
        <w:t>will</w:t>
      </w:r>
      <w:r w:rsidR="00C03300">
        <w:t xml:space="preserve"> claim their eligible expenses </w:t>
      </w:r>
      <w:r w:rsidR="00691E13">
        <w:t xml:space="preserve">from </w:t>
      </w:r>
      <w:r w:rsidR="00C03300">
        <w:t>the nominated lead agency of the affected state</w:t>
      </w:r>
      <w:r w:rsidR="00134719">
        <w:t xml:space="preserve"> or </w:t>
      </w:r>
      <w:r w:rsidR="00C03300">
        <w:t xml:space="preserve">territory. Such eligible expenses </w:t>
      </w:r>
      <w:r w:rsidR="00FB4A4B">
        <w:t>will</w:t>
      </w:r>
      <w:r w:rsidR="00C03300">
        <w:t xml:space="preserve"> be detailed in the budget for the </w:t>
      </w:r>
      <w:r w:rsidR="00893238">
        <w:t>NRP</w:t>
      </w:r>
      <w:r w:rsidR="00C03300">
        <w:t>.</w:t>
      </w:r>
    </w:p>
    <w:p w14:paraId="56FADB7A" w14:textId="718AE542" w:rsidR="00102092" w:rsidRPr="00F46794" w:rsidRDefault="00F46794" w:rsidP="00766FF7">
      <w:r w:rsidRPr="00F46794">
        <w:t>The affected state</w:t>
      </w:r>
      <w:r w:rsidR="00134719">
        <w:t xml:space="preserve"> or </w:t>
      </w:r>
      <w:r w:rsidRPr="00F46794">
        <w:t xml:space="preserve">territory </w:t>
      </w:r>
      <w:r w:rsidR="00FB4A4B">
        <w:t>will</w:t>
      </w:r>
      <w:r w:rsidRPr="00F46794">
        <w:t xml:space="preserve"> </w:t>
      </w:r>
      <w:r w:rsidR="00B7667A">
        <w:t xml:space="preserve">regularly </w:t>
      </w:r>
      <w:r w:rsidR="00FB4A4B">
        <w:t xml:space="preserve">submit </w:t>
      </w:r>
      <w:r>
        <w:t xml:space="preserve">a claim for </w:t>
      </w:r>
      <w:r w:rsidR="00102092" w:rsidRPr="00F46794">
        <w:t>reimbursement of costs</w:t>
      </w:r>
      <w:r>
        <w:t xml:space="preserve"> </w:t>
      </w:r>
      <w:r w:rsidR="00B7667A">
        <w:t xml:space="preserve">no less than </w:t>
      </w:r>
      <w:r>
        <w:t>every 3</w:t>
      </w:r>
      <w:r w:rsidR="004F7DDE">
        <w:t> </w:t>
      </w:r>
      <w:r>
        <w:t xml:space="preserve">months during the response. All </w:t>
      </w:r>
      <w:r w:rsidR="002A4A4B">
        <w:t>finances</w:t>
      </w:r>
      <w:r>
        <w:t xml:space="preserve"> </w:t>
      </w:r>
      <w:r w:rsidR="003E0751">
        <w:t xml:space="preserve">will </w:t>
      </w:r>
      <w:r>
        <w:t>be finalised within 6</w:t>
      </w:r>
      <w:r w:rsidR="00691E13">
        <w:t> </w:t>
      </w:r>
      <w:r>
        <w:t xml:space="preserve">months of the NBMG decision that the response is finished – </w:t>
      </w:r>
      <w:r w:rsidR="004F7DDE">
        <w:t xml:space="preserve">that the emergency wildlife disease is </w:t>
      </w:r>
      <w:r>
        <w:t>either eradicated or not technically feasible to eradicate.</w:t>
      </w:r>
    </w:p>
    <w:p w14:paraId="423CEA7C" w14:textId="44F94077" w:rsidR="00F46794" w:rsidRPr="00FC6630" w:rsidRDefault="00F46794" w:rsidP="00766FF7">
      <w:r w:rsidRPr="00C03300">
        <w:t>The formula for the proportion</w:t>
      </w:r>
      <w:r w:rsidR="00AC1021">
        <w:t>al</w:t>
      </w:r>
      <w:r w:rsidRPr="00C03300">
        <w:t xml:space="preserve"> allocation of costs is complex</w:t>
      </w:r>
      <w:r w:rsidR="00366BA3">
        <w:t xml:space="preserve">. The </w:t>
      </w:r>
      <w:r w:rsidR="00691E13">
        <w:t xml:space="preserve">Australian Government </w:t>
      </w:r>
      <w:r w:rsidR="00366BA3">
        <w:t>contribution to a NEBRA response is 50% of the total costs. The formula to</w:t>
      </w:r>
      <w:r w:rsidRPr="00C03300">
        <w:t xml:space="preserve"> determin</w:t>
      </w:r>
      <w:r w:rsidR="00366BA3">
        <w:t xml:space="preserve">e the proportional allocation of the remaining 50% of </w:t>
      </w:r>
      <w:r w:rsidR="00366BA3" w:rsidRPr="00C03300">
        <w:t>costs</w:t>
      </w:r>
      <w:r w:rsidR="00366BA3">
        <w:t xml:space="preserve"> is </w:t>
      </w:r>
      <w:r w:rsidR="004F7DDE">
        <w:t>provided in</w:t>
      </w:r>
      <w:r w:rsidR="00366BA3">
        <w:t xml:space="preserve"> Section</w:t>
      </w:r>
      <w:r w:rsidR="004F7DDE">
        <w:t> </w:t>
      </w:r>
      <w:r w:rsidR="00366BA3">
        <w:t xml:space="preserve">7 of the </w:t>
      </w:r>
      <w:r w:rsidR="0086792A">
        <w:t>NEBRA</w:t>
      </w:r>
      <w:r w:rsidR="004F7DDE">
        <w:t>,</w:t>
      </w:r>
      <w:r w:rsidR="0086792A">
        <w:t xml:space="preserve"> and</w:t>
      </w:r>
      <w:r w:rsidR="00366BA3">
        <w:t xml:space="preserve"> takes into account the potential distribution of a pest or disease and the population of </w:t>
      </w:r>
      <w:r w:rsidR="00AF01FD">
        <w:t xml:space="preserve">the affected species of concern in </w:t>
      </w:r>
      <w:r w:rsidR="00366BA3">
        <w:t>these affected areas.</w:t>
      </w:r>
      <w:r w:rsidR="00366BA3" w:rsidRPr="00C03300" w:rsidDel="00366BA3">
        <w:t xml:space="preserve"> </w:t>
      </w:r>
      <w:r w:rsidR="003E0751">
        <w:t xml:space="preserve">This is usually </w:t>
      </w:r>
      <w:r w:rsidR="004F7DDE">
        <w:t xml:space="preserve">determined </w:t>
      </w:r>
      <w:r w:rsidR="003E0751">
        <w:t>in consultation between the parties</w:t>
      </w:r>
      <w:r w:rsidR="004F7DDE">
        <w:t>,</w:t>
      </w:r>
      <w:r w:rsidR="003E0751">
        <w:t xml:space="preserve"> including the </w:t>
      </w:r>
      <w:r w:rsidR="00691E13">
        <w:t>Australian Government</w:t>
      </w:r>
      <w:r w:rsidR="004F7DDE">
        <w:t>,</w:t>
      </w:r>
      <w:r w:rsidR="003E0751">
        <w:t xml:space="preserve"> </w:t>
      </w:r>
      <w:r w:rsidR="003E0751" w:rsidRPr="00067884">
        <w:t xml:space="preserve">with input from relevant </w:t>
      </w:r>
      <w:r w:rsidR="00AF01FD" w:rsidRPr="00FC6630">
        <w:t xml:space="preserve">species population </w:t>
      </w:r>
      <w:r w:rsidR="003E0751" w:rsidRPr="00FC6630">
        <w:t>experts.</w:t>
      </w:r>
    </w:p>
    <w:p w14:paraId="25280849" w14:textId="228C7618" w:rsidR="00DF03EF" w:rsidRDefault="00DF03EF" w:rsidP="00766FF7">
      <w:r w:rsidRPr="00FC6630">
        <w:t xml:space="preserve">Each situation report to the national level </w:t>
      </w:r>
      <w:r w:rsidR="00FB4A4B" w:rsidRPr="00FC6630">
        <w:t>will</w:t>
      </w:r>
      <w:r w:rsidRPr="00FC6630">
        <w:t xml:space="preserve"> include a </w:t>
      </w:r>
      <w:r w:rsidR="0046762A" w:rsidRPr="00FC6630">
        <w:t xml:space="preserve">detailed </w:t>
      </w:r>
      <w:r w:rsidRPr="00FC6630">
        <w:t>report on progress against the approved budget</w:t>
      </w:r>
      <w:r w:rsidRPr="00067884">
        <w:t>. The report must include expenditure to date and commitments</w:t>
      </w:r>
      <w:r w:rsidR="0046762A" w:rsidRPr="00FC6630">
        <w:t>, and clearly reflect</w:t>
      </w:r>
      <w:r w:rsidR="0046762A">
        <w:t xml:space="preserve"> any variances from the approved budget</w:t>
      </w:r>
      <w:r>
        <w:t>.</w:t>
      </w:r>
      <w:r w:rsidR="0046762A">
        <w:t xml:space="preserve"> </w:t>
      </w:r>
    </w:p>
    <w:p w14:paraId="4CE8A0A5" w14:textId="77777777" w:rsidR="00671A72" w:rsidRPr="00F46794" w:rsidRDefault="00671A72" w:rsidP="00671A72">
      <w:pPr>
        <w:spacing w:after="0"/>
        <w:jc w:val="both"/>
      </w:pPr>
    </w:p>
    <w:p w14:paraId="4662CEA5" w14:textId="6E5EE001" w:rsidR="002A19B8" w:rsidRPr="00A80AEB" w:rsidRDefault="00AC3281" w:rsidP="00A80AEB">
      <w:pPr>
        <w:pStyle w:val="Heading1"/>
      </w:pPr>
      <w:bookmarkStart w:id="96" w:name="_Hlk508710575"/>
      <w:bookmarkStart w:id="97" w:name="_Toc529783797"/>
      <w:r w:rsidRPr="00A80AEB">
        <w:t>Appendi</w:t>
      </w:r>
      <w:r w:rsidR="00371CD0" w:rsidRPr="00A80AEB">
        <w:t>x</w:t>
      </w:r>
      <w:r w:rsidR="00A80AEB" w:rsidRPr="00A80AEB">
        <w:t xml:space="preserve"> </w:t>
      </w:r>
      <w:bookmarkStart w:id="98" w:name="_Hlk508718974"/>
      <w:bookmarkEnd w:id="96"/>
      <w:r w:rsidR="00A80AEB">
        <w:t>1</w:t>
      </w:r>
      <w:r w:rsidR="00A80AEB" w:rsidRPr="00A80AEB">
        <w:tab/>
      </w:r>
      <w:r w:rsidR="002A19B8" w:rsidRPr="00A80AEB">
        <w:t>National Biosecurity Incident Response Plan</w:t>
      </w:r>
      <w:r w:rsidR="00E7711D" w:rsidRPr="00A80AEB">
        <w:t xml:space="preserve"> </w:t>
      </w:r>
      <w:r w:rsidR="00371CD0" w:rsidRPr="00A80AEB">
        <w:t>template</w:t>
      </w:r>
      <w:bookmarkEnd w:id="97"/>
    </w:p>
    <w:bookmarkEnd w:id="98"/>
    <w:p w14:paraId="1D66F664" w14:textId="775C2F47" w:rsidR="00F12450" w:rsidRDefault="00E7711D" w:rsidP="0007341C">
      <w:pPr>
        <w:pStyle w:val="NormalBeforeBullet"/>
      </w:pPr>
      <w:r>
        <w:t xml:space="preserve">The key components of the </w:t>
      </w:r>
      <w:r w:rsidR="004F7DDE" w:rsidRPr="00A80AEB">
        <w:t>National Biosecurity Incident Response Plan</w:t>
      </w:r>
      <w:r w:rsidR="004F7DDE">
        <w:t xml:space="preserve"> </w:t>
      </w:r>
      <w:r w:rsidR="003775D3">
        <w:t>(</w:t>
      </w:r>
      <w:r>
        <w:t>NRP</w:t>
      </w:r>
      <w:r w:rsidR="003775D3">
        <w:t>)</w:t>
      </w:r>
      <w:r>
        <w:t xml:space="preserve"> are</w:t>
      </w:r>
      <w:r w:rsidR="003775D3">
        <w:t xml:space="preserve"> as follows.</w:t>
      </w:r>
    </w:p>
    <w:p w14:paraId="2BF286D4" w14:textId="2DD07780" w:rsidR="002A19B8" w:rsidRPr="00F12450" w:rsidRDefault="002A19B8" w:rsidP="00756690">
      <w:pPr>
        <w:pStyle w:val="NormalBeforeBullet"/>
        <w:rPr>
          <w:noProof/>
        </w:rPr>
      </w:pPr>
      <w:r w:rsidRPr="003775D3">
        <w:rPr>
          <w:b/>
          <w:noProof/>
        </w:rPr>
        <w:t xml:space="preserve">Cover and </w:t>
      </w:r>
      <w:r w:rsidR="003775D3" w:rsidRPr="003775D3">
        <w:rPr>
          <w:b/>
          <w:noProof/>
        </w:rPr>
        <w:t>t</w:t>
      </w:r>
      <w:r w:rsidRPr="003775D3">
        <w:rPr>
          <w:b/>
          <w:noProof/>
        </w:rPr>
        <w:t xml:space="preserve">itle </w:t>
      </w:r>
      <w:r w:rsidR="003775D3" w:rsidRPr="003775D3">
        <w:rPr>
          <w:b/>
          <w:noProof/>
        </w:rPr>
        <w:t>p</w:t>
      </w:r>
      <w:r w:rsidRPr="003775D3">
        <w:rPr>
          <w:b/>
          <w:noProof/>
        </w:rPr>
        <w:t>age</w:t>
      </w:r>
      <w:r w:rsidR="003775D3">
        <w:rPr>
          <w:noProof/>
        </w:rPr>
        <w:t>, including:</w:t>
      </w:r>
    </w:p>
    <w:p w14:paraId="122B4657" w14:textId="60CB6E65" w:rsidR="002A19B8" w:rsidRPr="00F12450" w:rsidRDefault="003803F6" w:rsidP="00756690">
      <w:pPr>
        <w:pStyle w:val="Bullet"/>
      </w:pPr>
      <w:r>
        <w:t>r</w:t>
      </w:r>
      <w:r w:rsidR="002A19B8" w:rsidRPr="00F12450">
        <w:t xml:space="preserve">esponse </w:t>
      </w:r>
      <w:r>
        <w:t>n</w:t>
      </w:r>
      <w:r w:rsidR="002A19B8" w:rsidRPr="00F12450">
        <w:t>ame</w:t>
      </w:r>
    </w:p>
    <w:p w14:paraId="21362A7C" w14:textId="77570FE6" w:rsidR="002A19B8" w:rsidRPr="00F12450" w:rsidRDefault="003803F6" w:rsidP="00756690">
      <w:pPr>
        <w:pStyle w:val="Bullet"/>
      </w:pPr>
      <w:r>
        <w:t>p</w:t>
      </w:r>
      <w:r w:rsidR="002A19B8" w:rsidRPr="00F12450">
        <w:t>lan version</w:t>
      </w:r>
    </w:p>
    <w:p w14:paraId="36089756" w14:textId="6209EA61" w:rsidR="002A19B8" w:rsidRPr="00F12450" w:rsidRDefault="003803F6" w:rsidP="00756690">
      <w:pPr>
        <w:pStyle w:val="Bullet"/>
      </w:pPr>
      <w:r>
        <w:t>d</w:t>
      </w:r>
      <w:r w:rsidR="002A19B8" w:rsidRPr="00F12450">
        <w:t>ate of version</w:t>
      </w:r>
    </w:p>
    <w:p w14:paraId="02A2923E" w14:textId="6B52C77B" w:rsidR="002A19B8" w:rsidRPr="00F12450" w:rsidRDefault="003803F6" w:rsidP="00756690">
      <w:pPr>
        <w:pStyle w:val="Bullet"/>
      </w:pPr>
      <w:r>
        <w:t>a</w:t>
      </w:r>
      <w:r w:rsidR="002A19B8" w:rsidRPr="00F12450">
        <w:t xml:space="preserve">gency </w:t>
      </w:r>
      <w:r w:rsidR="0091512C" w:rsidRPr="00F12450">
        <w:t>logo</w:t>
      </w:r>
    </w:p>
    <w:p w14:paraId="31D0F964" w14:textId="73FDC41F" w:rsidR="002A19B8" w:rsidRDefault="003803F6" w:rsidP="00230CCC">
      <w:pPr>
        <w:pStyle w:val="BulletLast"/>
      </w:pPr>
      <w:r>
        <w:t>b</w:t>
      </w:r>
      <w:r w:rsidR="002A19B8" w:rsidRPr="00F12450">
        <w:t xml:space="preserve">randing </w:t>
      </w:r>
      <w:r>
        <w:t>(</w:t>
      </w:r>
      <w:r w:rsidR="002A19B8" w:rsidRPr="00F12450">
        <w:t>eg picture that links reader to document</w:t>
      </w:r>
      <w:r w:rsidR="00D7493B">
        <w:t xml:space="preserve"> </w:t>
      </w:r>
      <w:r>
        <w:t>and</w:t>
      </w:r>
      <w:r w:rsidR="00D7493B">
        <w:t xml:space="preserve"> </w:t>
      </w:r>
      <w:r w:rsidR="002A19B8" w:rsidRPr="00F12450">
        <w:t>response</w:t>
      </w:r>
      <w:r>
        <w:t>)</w:t>
      </w:r>
    </w:p>
    <w:p w14:paraId="489B81DD" w14:textId="1BEB9DA4" w:rsidR="003803F6" w:rsidRDefault="003803F6" w:rsidP="003803F6">
      <w:r w:rsidRPr="003803F6">
        <w:rPr>
          <w:b/>
        </w:rPr>
        <w:t>Page early in document to show</w:t>
      </w:r>
      <w:r>
        <w:rPr>
          <w:b/>
        </w:rPr>
        <w:t>:</w:t>
      </w:r>
    </w:p>
    <w:p w14:paraId="183DBC72" w14:textId="41029D8E" w:rsidR="00E77DC4" w:rsidRPr="00F12450" w:rsidRDefault="00E77DC4" w:rsidP="00E77DC4">
      <w:pPr>
        <w:pStyle w:val="ListParagraph"/>
        <w:tabs>
          <w:tab w:val="left" w:pos="360"/>
        </w:tabs>
        <w:spacing w:after="0"/>
        <w:ind w:left="0"/>
        <w:contextualSpacing w:val="0"/>
        <w:jc w:val="both"/>
        <w:rPr>
          <w:rFonts w:cs="Arial"/>
          <w:bCs/>
        </w:rPr>
      </w:pPr>
      <w:r>
        <w:rPr>
          <w:rFonts w:cs="Arial"/>
          <w:bCs/>
          <w:noProof/>
        </w:rPr>
        <mc:AlternateContent>
          <mc:Choice Requires="wps">
            <w:drawing>
              <wp:anchor distT="0" distB="0" distL="114300" distR="114300" simplePos="0" relativeHeight="251656192" behindDoc="0" locked="0" layoutInCell="1" allowOverlap="1" wp14:anchorId="1C631705" wp14:editId="13CBBDA6">
                <wp:simplePos x="0" y="0"/>
                <wp:positionH relativeFrom="column">
                  <wp:posOffset>12700</wp:posOffset>
                </wp:positionH>
                <wp:positionV relativeFrom="paragraph">
                  <wp:posOffset>67945</wp:posOffset>
                </wp:positionV>
                <wp:extent cx="4895850" cy="6350"/>
                <wp:effectExtent l="0" t="0" r="19050" b="31750"/>
                <wp:wrapNone/>
                <wp:docPr id="51" name="Straight Connector 51"/>
                <wp:cNvGraphicFramePr/>
                <a:graphic xmlns:a="http://schemas.openxmlformats.org/drawingml/2006/main">
                  <a:graphicData uri="http://schemas.microsoft.com/office/word/2010/wordprocessingShape">
                    <wps:wsp>
                      <wps:cNvCnPr/>
                      <wps:spPr>
                        <a:xfrm flipV="1">
                          <a:off x="0" y="0"/>
                          <a:ext cx="4895850" cy="63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557AA47" id="Straight Connector 51"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1pt,5.35pt" to="386.5pt,5.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" strokecolor="black [3213]" strokeweight=".5pt">
                <v:stroke joinstyle="miter"/>
              </v:line>
            </w:pict>
          </mc:Fallback>
        </mc:AlternateContent>
      </w:r>
    </w:p>
    <w:p w14:paraId="35D3C45C" w14:textId="2104CDA2" w:rsidR="002A19B8" w:rsidRPr="00F12450" w:rsidRDefault="002A19B8" w:rsidP="00371CD0">
      <w:pPr>
        <w:tabs>
          <w:tab w:val="left" w:pos="360"/>
        </w:tabs>
        <w:autoSpaceDE w:val="0"/>
        <w:autoSpaceDN w:val="0"/>
        <w:adjustRightInd w:val="0"/>
        <w:spacing w:after="0"/>
        <w:ind w:left="450" w:hanging="450"/>
        <w:jc w:val="center"/>
        <w:rPr>
          <w:rFonts w:cs="Arial"/>
          <w:b/>
          <w:bCs/>
          <w:sz w:val="32"/>
          <w:szCs w:val="32"/>
        </w:rPr>
      </w:pPr>
      <w:r w:rsidRPr="00F12450">
        <w:rPr>
          <w:rFonts w:cs="Arial"/>
          <w:b/>
          <w:bCs/>
          <w:sz w:val="32"/>
          <w:szCs w:val="32"/>
        </w:rPr>
        <w:t>CONFIDENTIAL</w:t>
      </w:r>
    </w:p>
    <w:p w14:paraId="1820C62E" w14:textId="7A3150F7" w:rsidR="002A19B8" w:rsidRDefault="002A19B8" w:rsidP="00A81F12">
      <w:pPr>
        <w:tabs>
          <w:tab w:val="left" w:pos="360"/>
        </w:tabs>
        <w:autoSpaceDE w:val="0"/>
        <w:autoSpaceDN w:val="0"/>
        <w:adjustRightInd w:val="0"/>
        <w:ind w:left="450" w:hanging="450"/>
        <w:jc w:val="center"/>
        <w:rPr>
          <w:rFonts w:cs="Arial"/>
          <w:b/>
          <w:bCs/>
          <w:sz w:val="32"/>
          <w:szCs w:val="32"/>
        </w:rPr>
      </w:pPr>
      <w:r w:rsidRPr="00F12450">
        <w:rPr>
          <w:rFonts w:cs="Arial"/>
          <w:b/>
          <w:bCs/>
          <w:sz w:val="32"/>
          <w:szCs w:val="32"/>
        </w:rPr>
        <w:t>NOT FOR UNAUTHORISED DISTRIBUTION</w:t>
      </w:r>
    </w:p>
    <w:p w14:paraId="39D0B869" w14:textId="37AA9DBE" w:rsidR="002A19B8" w:rsidRPr="00E240B2" w:rsidRDefault="00E240B2" w:rsidP="00756690">
      <w:pPr>
        <w:rPr>
          <w:noProof/>
        </w:rPr>
      </w:pPr>
      <w:r w:rsidRPr="00E240B2">
        <w:rPr>
          <w:noProof/>
        </w:rPr>
        <mc:AlternateContent>
          <mc:Choice Requires="wps">
            <w:drawing>
              <wp:anchor distT="0" distB="0" distL="114300" distR="114300" simplePos="0" relativeHeight="251658240" behindDoc="0" locked="0" layoutInCell="1" allowOverlap="1" wp14:anchorId="464A145B" wp14:editId="22FBD2F5">
                <wp:simplePos x="0" y="0"/>
                <wp:positionH relativeFrom="column">
                  <wp:posOffset>0</wp:posOffset>
                </wp:positionH>
                <wp:positionV relativeFrom="paragraph">
                  <wp:posOffset>-635</wp:posOffset>
                </wp:positionV>
                <wp:extent cx="4895850" cy="6350"/>
                <wp:effectExtent l="0" t="0" r="19050" b="31750"/>
                <wp:wrapNone/>
                <wp:docPr id="52" name="Straight Connector 52"/>
                <wp:cNvGraphicFramePr/>
                <a:graphic xmlns:a="http://schemas.openxmlformats.org/drawingml/2006/main">
                  <a:graphicData uri="http://schemas.microsoft.com/office/word/2010/wordprocessingShape">
                    <wps:wsp>
                      <wps:cNvCnPr/>
                      <wps:spPr>
                        <a:xfrm flipV="1">
                          <a:off x="0" y="0"/>
                          <a:ext cx="4895850" cy="63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169F679" id="Straight Connector 52" o:spid="_x0000_s1026" style="position:absolute;flip:y;z-index:251658240;visibility:visible;mso-wrap-style:square;mso-wrap-distance-left:9pt;mso-wrap-distance-top:0;mso-wrap-distance-right:9pt;mso-wrap-distance-bottom:0;mso-position-horizontal:absolute;mso-position-horizontal-relative:text;mso-position-vertical:absolute;mso-position-vertical-relative:text" from="0,-.05pt" to="385.5pt,.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" strokecolor="black [3213]" strokeweight=".5pt">
                <v:stroke joinstyle="miter"/>
              </v:line>
            </w:pict>
          </mc:Fallback>
        </mc:AlternateContent>
      </w:r>
    </w:p>
    <w:p w14:paraId="173F59AE" w14:textId="77777777" w:rsidR="002A19B8" w:rsidRPr="00E91DD1" w:rsidRDefault="002A19B8" w:rsidP="00E91DD1">
      <w:pPr>
        <w:pStyle w:val="NormalBeforeBullet"/>
        <w:rPr>
          <w:b/>
        </w:rPr>
      </w:pPr>
      <w:r w:rsidRPr="00E91DD1">
        <w:rPr>
          <w:b/>
        </w:rPr>
        <w:t>Situation</w:t>
      </w:r>
    </w:p>
    <w:p w14:paraId="74603143" w14:textId="38C10171" w:rsidR="002A19B8" w:rsidRDefault="002A19B8" w:rsidP="003803F6">
      <w:pPr>
        <w:pStyle w:val="Bullet"/>
      </w:pPr>
      <w:r>
        <w:t>Strategic current situation</w:t>
      </w:r>
      <w:r w:rsidR="008D68A7">
        <w:t xml:space="preserve"> </w:t>
      </w:r>
      <w:r w:rsidR="003803F6">
        <w:t>or</w:t>
      </w:r>
      <w:r w:rsidR="008D68A7">
        <w:t xml:space="preserve"> </w:t>
      </w:r>
      <w:r>
        <w:t xml:space="preserve">situation update (do not </w:t>
      </w:r>
      <w:r w:rsidR="004604A7">
        <w:t xml:space="preserve">just </w:t>
      </w:r>
      <w:r>
        <w:t xml:space="preserve">repeat current </w:t>
      </w:r>
      <w:r w:rsidR="003803F6">
        <w:t>s</w:t>
      </w:r>
      <w:r>
        <w:t xml:space="preserve">ituation </w:t>
      </w:r>
      <w:r w:rsidR="003803F6">
        <w:t>r</w:t>
      </w:r>
      <w:r>
        <w:t xml:space="preserve">eport) </w:t>
      </w:r>
    </w:p>
    <w:p w14:paraId="294EDB5D" w14:textId="77777777" w:rsidR="002A19B8" w:rsidRPr="002230A4" w:rsidRDefault="002A19B8" w:rsidP="00230CCC">
      <w:pPr>
        <w:pStyle w:val="BulletLast"/>
      </w:pPr>
      <w:r>
        <w:t>Include maps, diagrams, graphs and pictures</w:t>
      </w:r>
    </w:p>
    <w:p w14:paraId="51425AB9" w14:textId="5F612464" w:rsidR="002A19B8" w:rsidRPr="00E91DD1" w:rsidRDefault="003803F6" w:rsidP="00E91DD1">
      <w:pPr>
        <w:pStyle w:val="NormalBeforeBullet"/>
        <w:rPr>
          <w:b/>
        </w:rPr>
      </w:pPr>
      <w:r w:rsidRPr="00E91DD1">
        <w:rPr>
          <w:b/>
        </w:rPr>
        <w:t>D</w:t>
      </w:r>
      <w:r w:rsidR="002A19B8" w:rsidRPr="00E91DD1">
        <w:rPr>
          <w:b/>
        </w:rPr>
        <w:t>isease</w:t>
      </w:r>
    </w:p>
    <w:p w14:paraId="799F402C" w14:textId="2CEDF86C" w:rsidR="002A19B8" w:rsidRDefault="003803F6" w:rsidP="003803F6">
      <w:pPr>
        <w:pStyle w:val="Bullet"/>
      </w:pPr>
      <w:r>
        <w:t>B</w:t>
      </w:r>
      <w:r w:rsidR="002A19B8">
        <w:t xml:space="preserve">iology of the </w:t>
      </w:r>
      <w:r w:rsidR="008D68A7">
        <w:t xml:space="preserve">organism or </w:t>
      </w:r>
      <w:r w:rsidR="002A19B8">
        <w:t>disease</w:t>
      </w:r>
    </w:p>
    <w:p w14:paraId="6D6DD76F" w14:textId="77777777" w:rsidR="002A19B8" w:rsidRDefault="002A19B8" w:rsidP="003803F6">
      <w:pPr>
        <w:pStyle w:val="Bullet"/>
      </w:pPr>
      <w:r>
        <w:t>Aetiology</w:t>
      </w:r>
    </w:p>
    <w:p w14:paraId="29EEBC7B" w14:textId="1413FD15" w:rsidR="002A19B8" w:rsidRDefault="002A19B8" w:rsidP="003803F6">
      <w:pPr>
        <w:pStyle w:val="Bullet"/>
      </w:pPr>
      <w:r>
        <w:t xml:space="preserve">Risks of the </w:t>
      </w:r>
      <w:r w:rsidR="002B7313">
        <w:t>disease</w:t>
      </w:r>
    </w:p>
    <w:p w14:paraId="431E64D2" w14:textId="3837180D" w:rsidR="00E7711D" w:rsidRDefault="002A19B8" w:rsidP="00230CCC">
      <w:pPr>
        <w:pStyle w:val="BulletLast"/>
      </w:pPr>
      <w:r>
        <w:t>Timeline of significant events of disease during response</w:t>
      </w:r>
    </w:p>
    <w:p w14:paraId="76476E49" w14:textId="77777777" w:rsidR="002A19B8" w:rsidRPr="00E91DD1" w:rsidRDefault="002A19B8" w:rsidP="00E91DD1">
      <w:pPr>
        <w:pStyle w:val="NormalBeforeBullet"/>
        <w:rPr>
          <w:b/>
        </w:rPr>
      </w:pPr>
      <w:r w:rsidRPr="00E91DD1">
        <w:rPr>
          <w:b/>
        </w:rPr>
        <w:t>National significance of outbreak</w:t>
      </w:r>
    </w:p>
    <w:p w14:paraId="2E3A0610" w14:textId="51F765EC" w:rsidR="003803F6" w:rsidRPr="003775D3" w:rsidRDefault="003803F6" w:rsidP="003775D3">
      <w:pPr>
        <w:rPr>
          <w:b/>
        </w:rPr>
      </w:pPr>
      <w:r>
        <w:t>T</w:t>
      </w:r>
      <w:r w:rsidRPr="00751FB2">
        <w:t>o be included in initial NRP and later versions where the context has changed</w:t>
      </w:r>
    </w:p>
    <w:p w14:paraId="2D5EE3F3" w14:textId="77777777" w:rsidR="002A19B8" w:rsidRPr="00E91DD1" w:rsidRDefault="002A19B8" w:rsidP="00E91DD1">
      <w:pPr>
        <w:pStyle w:val="NormalBeforeBullet"/>
        <w:rPr>
          <w:b/>
        </w:rPr>
      </w:pPr>
      <w:r w:rsidRPr="00E91DD1">
        <w:rPr>
          <w:b/>
        </w:rPr>
        <w:t>Technical feasibility of eradication</w:t>
      </w:r>
    </w:p>
    <w:p w14:paraId="593CE5D8" w14:textId="77777777" w:rsidR="003803F6" w:rsidRPr="003775D3" w:rsidRDefault="003803F6" w:rsidP="003803F6">
      <w:pPr>
        <w:rPr>
          <w:b/>
        </w:rPr>
      </w:pPr>
      <w:r>
        <w:t>T</w:t>
      </w:r>
      <w:r w:rsidRPr="00751FB2">
        <w:t>o be included in initial NRP and later versions where the context has changed</w:t>
      </w:r>
    </w:p>
    <w:p w14:paraId="2C5BBDD1" w14:textId="77777777" w:rsidR="002A19B8" w:rsidRPr="00E91DD1" w:rsidRDefault="002A19B8" w:rsidP="00E91DD1">
      <w:pPr>
        <w:pStyle w:val="NormalBeforeBullet"/>
        <w:rPr>
          <w:b/>
        </w:rPr>
      </w:pPr>
      <w:r w:rsidRPr="00E91DD1">
        <w:rPr>
          <w:b/>
        </w:rPr>
        <w:t>Strategic risk assessment</w:t>
      </w:r>
    </w:p>
    <w:p w14:paraId="520D64F8" w14:textId="77777777" w:rsidR="003803F6" w:rsidRPr="003775D3" w:rsidRDefault="003803F6" w:rsidP="003803F6">
      <w:pPr>
        <w:rPr>
          <w:b/>
        </w:rPr>
      </w:pPr>
      <w:r>
        <w:t>T</w:t>
      </w:r>
      <w:r w:rsidRPr="00751FB2">
        <w:t>o be included in initial NRP and later versions where the context has changed</w:t>
      </w:r>
    </w:p>
    <w:p w14:paraId="568DBAEA" w14:textId="61D07653" w:rsidR="002A19B8" w:rsidRPr="00E91DD1" w:rsidRDefault="003803F6" w:rsidP="00E91DD1">
      <w:pPr>
        <w:pStyle w:val="NormalBeforeBullet"/>
        <w:rPr>
          <w:b/>
        </w:rPr>
      </w:pPr>
      <w:r w:rsidRPr="00E91DD1">
        <w:rPr>
          <w:b/>
        </w:rPr>
        <w:t>Cost–b</w:t>
      </w:r>
      <w:r w:rsidR="002A19B8" w:rsidRPr="00E91DD1">
        <w:rPr>
          <w:b/>
        </w:rPr>
        <w:t>enefit analysis</w:t>
      </w:r>
    </w:p>
    <w:p w14:paraId="6A5710CC" w14:textId="77777777" w:rsidR="003803F6" w:rsidRPr="003775D3" w:rsidRDefault="003803F6" w:rsidP="003803F6">
      <w:pPr>
        <w:rPr>
          <w:b/>
        </w:rPr>
      </w:pPr>
      <w:r>
        <w:t>T</w:t>
      </w:r>
      <w:r w:rsidRPr="00751FB2">
        <w:t>o be included in initial NRP and later versions where the context has changed</w:t>
      </w:r>
    </w:p>
    <w:p w14:paraId="1648817F" w14:textId="3CB63777" w:rsidR="002A19B8" w:rsidRPr="003775D3" w:rsidRDefault="002A19B8" w:rsidP="003775D3">
      <w:pPr>
        <w:rPr>
          <w:b/>
        </w:rPr>
      </w:pPr>
      <w:r w:rsidRPr="003775D3">
        <w:rPr>
          <w:b/>
        </w:rPr>
        <w:t xml:space="preserve">Aim and </w:t>
      </w:r>
      <w:r w:rsidR="002B7313" w:rsidRPr="003775D3">
        <w:rPr>
          <w:b/>
        </w:rPr>
        <w:t>o</w:t>
      </w:r>
      <w:r w:rsidRPr="003775D3">
        <w:rPr>
          <w:b/>
        </w:rPr>
        <w:t>bjectives with strategy(s) and tactics</w:t>
      </w:r>
    </w:p>
    <w:p w14:paraId="769C9A7C" w14:textId="41CA0D58" w:rsidR="002A19B8" w:rsidRPr="003775D3" w:rsidRDefault="002A19B8" w:rsidP="003775D3">
      <w:pPr>
        <w:rPr>
          <w:b/>
        </w:rPr>
      </w:pPr>
      <w:r w:rsidRPr="003775D3">
        <w:rPr>
          <w:b/>
        </w:rPr>
        <w:t xml:space="preserve">Statistical basis </w:t>
      </w:r>
      <w:r w:rsidR="003803F6">
        <w:rPr>
          <w:b/>
        </w:rPr>
        <w:t>(</w:t>
      </w:r>
      <w:r w:rsidRPr="003775D3">
        <w:rPr>
          <w:b/>
        </w:rPr>
        <w:t>or similar</w:t>
      </w:r>
      <w:r w:rsidR="003803F6">
        <w:rPr>
          <w:b/>
        </w:rPr>
        <w:t>)</w:t>
      </w:r>
      <w:r w:rsidRPr="003775D3">
        <w:rPr>
          <w:b/>
        </w:rPr>
        <w:t xml:space="preserve"> as basis for strategy(s) and tactics</w:t>
      </w:r>
    </w:p>
    <w:p w14:paraId="70DF6D79" w14:textId="76BD367F" w:rsidR="002A19B8" w:rsidRPr="002230A4" w:rsidRDefault="002A19B8" w:rsidP="00E91DD1">
      <w:pPr>
        <w:pStyle w:val="NormalBeforeBullet"/>
      </w:pPr>
      <w:r w:rsidRPr="00F12450">
        <w:rPr>
          <w:b/>
        </w:rPr>
        <w:t>Execution</w:t>
      </w:r>
      <w:r w:rsidRPr="005666A2">
        <w:rPr>
          <w:b/>
        </w:rPr>
        <w:t xml:space="preserve"> </w:t>
      </w:r>
      <w:r>
        <w:rPr>
          <w:b/>
        </w:rPr>
        <w:t>(</w:t>
      </w:r>
      <w:r w:rsidR="002B7313">
        <w:rPr>
          <w:b/>
        </w:rPr>
        <w:t>o</w:t>
      </w:r>
      <w:r>
        <w:rPr>
          <w:b/>
        </w:rPr>
        <w:t>perational activities)</w:t>
      </w:r>
      <w:r w:rsidR="003803F6">
        <w:rPr>
          <w:b/>
        </w:rPr>
        <w:t xml:space="preserve">, </w:t>
      </w:r>
      <w:r w:rsidR="003803F6" w:rsidRPr="003803F6">
        <w:t>which</w:t>
      </w:r>
      <w:r w:rsidR="003803F6">
        <w:rPr>
          <w:b/>
        </w:rPr>
        <w:t xml:space="preserve"> </w:t>
      </w:r>
      <w:r w:rsidRPr="002230A4">
        <w:t xml:space="preserve">may include </w:t>
      </w:r>
      <w:r w:rsidR="003803F6">
        <w:t xml:space="preserve">the </w:t>
      </w:r>
      <w:r w:rsidRPr="002230A4">
        <w:t xml:space="preserve">following activities that can be described in detail in </w:t>
      </w:r>
      <w:r w:rsidR="00E91DD1">
        <w:t xml:space="preserve">a </w:t>
      </w:r>
      <w:r w:rsidRPr="002230A4">
        <w:t>supporting plan for each or co</w:t>
      </w:r>
      <w:r>
        <w:t>m</w:t>
      </w:r>
      <w:r w:rsidRPr="002230A4">
        <w:t>bined</w:t>
      </w:r>
      <w:r w:rsidR="00E91DD1">
        <w:t>:</w:t>
      </w:r>
    </w:p>
    <w:p w14:paraId="4677A07C" w14:textId="53E09D46" w:rsidR="002A19B8" w:rsidRDefault="00E91DD1" w:rsidP="003775D3">
      <w:pPr>
        <w:pStyle w:val="Bullet"/>
      </w:pPr>
      <w:r>
        <w:t>Surveillance</w:t>
      </w:r>
    </w:p>
    <w:p w14:paraId="765493AE" w14:textId="6AFE5913" w:rsidR="002A19B8" w:rsidRDefault="00E91DD1" w:rsidP="003775D3">
      <w:pPr>
        <w:pStyle w:val="Bullet"/>
      </w:pPr>
      <w:r>
        <w:t xml:space="preserve">Identification </w:t>
      </w:r>
      <w:r w:rsidR="002A19B8">
        <w:t>and diagnostics</w:t>
      </w:r>
    </w:p>
    <w:p w14:paraId="25B263DD" w14:textId="3AAC1527" w:rsidR="002A19B8" w:rsidRDefault="00E91DD1" w:rsidP="003775D3">
      <w:pPr>
        <w:pStyle w:val="Bullet"/>
      </w:pPr>
      <w:r>
        <w:t>Tracing</w:t>
      </w:r>
    </w:p>
    <w:p w14:paraId="47ADCD42" w14:textId="76B45EB1" w:rsidR="002A19B8" w:rsidRDefault="00E91DD1" w:rsidP="003775D3">
      <w:pPr>
        <w:pStyle w:val="Bullet"/>
      </w:pPr>
      <w:r>
        <w:t xml:space="preserve">Movement </w:t>
      </w:r>
      <w:r w:rsidR="002A19B8">
        <w:t>management</w:t>
      </w:r>
    </w:p>
    <w:p w14:paraId="71A82AC0" w14:textId="0DB90A04" w:rsidR="002A19B8" w:rsidRDefault="00E91DD1" w:rsidP="003775D3">
      <w:pPr>
        <w:pStyle w:val="Bullet"/>
      </w:pPr>
      <w:r>
        <w:t xml:space="preserve">Vaccination </w:t>
      </w:r>
      <w:r w:rsidR="002A19B8">
        <w:t>or other treatments</w:t>
      </w:r>
    </w:p>
    <w:p w14:paraId="5B7CF66B" w14:textId="0EC1FE25" w:rsidR="002A19B8" w:rsidRDefault="00E91DD1" w:rsidP="003775D3">
      <w:pPr>
        <w:pStyle w:val="Bullet"/>
      </w:pPr>
      <w:r>
        <w:t>Destruction,</w:t>
      </w:r>
      <w:r w:rsidR="002A19B8">
        <w:t xml:space="preserve"> disposal and decontamination</w:t>
      </w:r>
    </w:p>
    <w:p w14:paraId="64064BA6" w14:textId="433F77E1" w:rsidR="002A19B8" w:rsidRDefault="00E91DD1" w:rsidP="00230CCC">
      <w:pPr>
        <w:pStyle w:val="BulletLast"/>
      </w:pPr>
      <w:r>
        <w:t xml:space="preserve">Population </w:t>
      </w:r>
      <w:r w:rsidR="002A19B8">
        <w:t>evaluation</w:t>
      </w:r>
    </w:p>
    <w:p w14:paraId="609104E8" w14:textId="764D72C8" w:rsidR="002A19B8" w:rsidRPr="006D4ED5" w:rsidRDefault="002A19B8" w:rsidP="003775D3">
      <w:r w:rsidRPr="00E91DD1">
        <w:rPr>
          <w:szCs w:val="24"/>
        </w:rPr>
        <w:t>Note:</w:t>
      </w:r>
      <w:r w:rsidRPr="00E91DD1">
        <w:t xml:space="preserve"> </w:t>
      </w:r>
      <w:r w:rsidR="00E91DD1">
        <w:t>A</w:t>
      </w:r>
      <w:r w:rsidRPr="006D4ED5">
        <w:t xml:space="preserve">ctions by other jurisdictions may needed to be included here </w:t>
      </w:r>
      <w:r w:rsidR="00BC2E0B">
        <w:t xml:space="preserve">if they are not included in the </w:t>
      </w:r>
      <w:r w:rsidRPr="006D4ED5">
        <w:t>NRP</w:t>
      </w:r>
      <w:r w:rsidR="00E7711D">
        <w:t>.</w:t>
      </w:r>
    </w:p>
    <w:p w14:paraId="36761DCF" w14:textId="1ABC8E7B" w:rsidR="002A19B8" w:rsidRDefault="002A19B8" w:rsidP="00E91DD1">
      <w:pPr>
        <w:pStyle w:val="NormalBeforeBullet"/>
        <w:rPr>
          <w:b/>
        </w:rPr>
      </w:pPr>
      <w:r w:rsidRPr="00F12450">
        <w:rPr>
          <w:b/>
        </w:rPr>
        <w:t>Resourcing</w:t>
      </w:r>
      <w:r>
        <w:rPr>
          <w:b/>
        </w:rPr>
        <w:t xml:space="preserve"> </w:t>
      </w:r>
      <w:r w:rsidRPr="00092C87">
        <w:rPr>
          <w:b/>
        </w:rPr>
        <w:t xml:space="preserve">– </w:t>
      </w:r>
      <w:r w:rsidRPr="00092C87">
        <w:t>staff, personnel, contractors, partners</w:t>
      </w:r>
      <w:r w:rsidR="00E91DD1">
        <w:t>:</w:t>
      </w:r>
    </w:p>
    <w:p w14:paraId="6C626CC2" w14:textId="1A14E8FC" w:rsidR="002A19B8" w:rsidRDefault="00E91DD1" w:rsidP="003775D3">
      <w:pPr>
        <w:pStyle w:val="Bullet"/>
      </w:pPr>
      <w:r>
        <w:t xml:space="preserve">Control </w:t>
      </w:r>
      <w:r w:rsidR="002A19B8">
        <w:t xml:space="preserve">and </w:t>
      </w:r>
      <w:r>
        <w:t>c</w:t>
      </w:r>
      <w:r w:rsidR="002A19B8">
        <w:t>oordination centres</w:t>
      </w:r>
    </w:p>
    <w:p w14:paraId="16F33129" w14:textId="2F3ADD38" w:rsidR="002A19B8" w:rsidRDefault="00E91DD1" w:rsidP="003775D3">
      <w:pPr>
        <w:pStyle w:val="Bullet"/>
      </w:pPr>
      <w:r>
        <w:t xml:space="preserve">Field </w:t>
      </w:r>
      <w:r w:rsidR="002A19B8">
        <w:t>activities</w:t>
      </w:r>
    </w:p>
    <w:p w14:paraId="0AB1ADEA" w14:textId="004586BD" w:rsidR="002A19B8" w:rsidRDefault="00E91DD1" w:rsidP="003775D3">
      <w:pPr>
        <w:pStyle w:val="Bullet"/>
      </w:pPr>
      <w:r>
        <w:t>Logistics</w:t>
      </w:r>
    </w:p>
    <w:p w14:paraId="5D69B070" w14:textId="064EA887" w:rsidR="002A19B8" w:rsidRPr="008A5C24" w:rsidRDefault="00E91DD1" w:rsidP="00230CCC">
      <w:pPr>
        <w:pStyle w:val="BulletLast"/>
      </w:pPr>
      <w:r>
        <w:t xml:space="preserve">Whole </w:t>
      </w:r>
      <w:r w:rsidR="002A19B8">
        <w:t>of government</w:t>
      </w:r>
    </w:p>
    <w:p w14:paraId="3AA2AF00" w14:textId="12A3E870" w:rsidR="002A19B8" w:rsidRPr="003775D3" w:rsidRDefault="002A19B8" w:rsidP="003775D3">
      <w:pPr>
        <w:rPr>
          <w:b/>
        </w:rPr>
      </w:pPr>
      <w:r w:rsidRPr="003775D3">
        <w:rPr>
          <w:b/>
        </w:rPr>
        <w:t xml:space="preserve">Administration and </w:t>
      </w:r>
      <w:r w:rsidR="00E91DD1">
        <w:rPr>
          <w:b/>
        </w:rPr>
        <w:t>f</w:t>
      </w:r>
      <w:r w:rsidRPr="003775D3">
        <w:rPr>
          <w:b/>
        </w:rPr>
        <w:t>inancial management arrangements</w:t>
      </w:r>
    </w:p>
    <w:p w14:paraId="0E206593" w14:textId="6BAF173C" w:rsidR="002A19B8" w:rsidRPr="00E91DD1" w:rsidRDefault="002A19B8" w:rsidP="00E91DD1">
      <w:pPr>
        <w:pStyle w:val="NormalBeforeBullet"/>
        <w:rPr>
          <w:b/>
        </w:rPr>
      </w:pPr>
      <w:r w:rsidRPr="00E91DD1">
        <w:rPr>
          <w:b/>
        </w:rPr>
        <w:t xml:space="preserve">Communications, </w:t>
      </w:r>
      <w:r w:rsidR="00E91DD1" w:rsidRPr="00E91DD1">
        <w:rPr>
          <w:b/>
        </w:rPr>
        <w:t>c</w:t>
      </w:r>
      <w:r w:rsidRPr="00E91DD1">
        <w:rPr>
          <w:b/>
        </w:rPr>
        <w:t xml:space="preserve">ommunity </w:t>
      </w:r>
      <w:r w:rsidR="00E91DD1" w:rsidRPr="00E91DD1">
        <w:rPr>
          <w:b/>
        </w:rPr>
        <w:t>e</w:t>
      </w:r>
      <w:r w:rsidRPr="00E91DD1">
        <w:rPr>
          <w:b/>
        </w:rPr>
        <w:t xml:space="preserve">ngagement and </w:t>
      </w:r>
      <w:r w:rsidR="00E91DD1" w:rsidRPr="00E91DD1">
        <w:rPr>
          <w:b/>
        </w:rPr>
        <w:t>m</w:t>
      </w:r>
      <w:r w:rsidRPr="00E91DD1">
        <w:rPr>
          <w:b/>
        </w:rPr>
        <w:t>edia</w:t>
      </w:r>
    </w:p>
    <w:p w14:paraId="0BE57253" w14:textId="371B5C2F" w:rsidR="002A19B8" w:rsidRPr="002230A4" w:rsidRDefault="002A19B8" w:rsidP="00230CCC">
      <w:pPr>
        <w:pStyle w:val="BulletLast"/>
      </w:pPr>
      <w:r w:rsidRPr="002230A4">
        <w:t>Strategic details and activities</w:t>
      </w:r>
      <w:r>
        <w:t xml:space="preserve"> – refer</w:t>
      </w:r>
      <w:r w:rsidR="00E91DD1">
        <w:t xml:space="preserve"> to </w:t>
      </w:r>
      <w:r>
        <w:t>Communications</w:t>
      </w:r>
      <w:r w:rsidR="00E91DD1">
        <w:t>,</w:t>
      </w:r>
      <w:r>
        <w:t xml:space="preserve"> Community Engagement and Media Plan</w:t>
      </w:r>
    </w:p>
    <w:p w14:paraId="7C5F9D49" w14:textId="77777777" w:rsidR="002A19B8" w:rsidRPr="00E91DD1" w:rsidRDefault="002A19B8" w:rsidP="00E91DD1">
      <w:pPr>
        <w:pStyle w:val="NormalBeforeBullet"/>
        <w:rPr>
          <w:b/>
        </w:rPr>
      </w:pPr>
      <w:r w:rsidRPr="00E91DD1">
        <w:rPr>
          <w:b/>
        </w:rPr>
        <w:t>Governance and management</w:t>
      </w:r>
    </w:p>
    <w:p w14:paraId="7B21F021" w14:textId="258C7E2A" w:rsidR="002A19B8" w:rsidRDefault="00E91DD1" w:rsidP="003775D3">
      <w:pPr>
        <w:pStyle w:val="Bullet"/>
      </w:pPr>
      <w:r>
        <w:t>C</w:t>
      </w:r>
      <w:r w:rsidR="002A19B8">
        <w:t>ommand</w:t>
      </w:r>
      <w:r>
        <w:t>,</w:t>
      </w:r>
      <w:r w:rsidR="002A19B8">
        <w:t xml:space="preserve"> </w:t>
      </w:r>
      <w:r>
        <w:t>c</w:t>
      </w:r>
      <w:r w:rsidR="002A19B8">
        <w:t xml:space="preserve">ontrol and </w:t>
      </w:r>
      <w:r>
        <w:t>c</w:t>
      </w:r>
      <w:r w:rsidR="002A19B8">
        <w:t>oordination</w:t>
      </w:r>
      <w:r>
        <w:t xml:space="preserve"> –</w:t>
      </w:r>
      <w:r w:rsidR="002A19B8">
        <w:t xml:space="preserve"> including control and coordination structures and location</w:t>
      </w:r>
    </w:p>
    <w:p w14:paraId="60061082" w14:textId="17ACFD6A" w:rsidR="002A19B8" w:rsidRDefault="00E91DD1" w:rsidP="003775D3">
      <w:pPr>
        <w:pStyle w:val="Bullet"/>
      </w:pPr>
      <w:r>
        <w:t>W</w:t>
      </w:r>
      <w:r w:rsidR="002A19B8">
        <w:t>hole</w:t>
      </w:r>
      <w:r>
        <w:t>-</w:t>
      </w:r>
      <w:r w:rsidR="002A19B8">
        <w:t>of</w:t>
      </w:r>
      <w:r>
        <w:t>-g</w:t>
      </w:r>
      <w:r w:rsidR="002A19B8">
        <w:t>overnment participation</w:t>
      </w:r>
    </w:p>
    <w:p w14:paraId="63B42211" w14:textId="2AA8A529" w:rsidR="002A19B8" w:rsidRDefault="002A19B8" w:rsidP="003775D3">
      <w:pPr>
        <w:pStyle w:val="Bullet"/>
      </w:pPr>
      <w:r>
        <w:t>Partner</w:t>
      </w:r>
      <w:r w:rsidR="008D68A7">
        <w:t xml:space="preserve"> and </w:t>
      </w:r>
      <w:r>
        <w:t>stakeholder participation</w:t>
      </w:r>
    </w:p>
    <w:p w14:paraId="108BD406" w14:textId="43413F13" w:rsidR="002A19B8" w:rsidRPr="00A561F2" w:rsidRDefault="002A19B8" w:rsidP="00230CCC">
      <w:pPr>
        <w:pStyle w:val="BulletLast"/>
      </w:pPr>
      <w:r>
        <w:t>National</w:t>
      </w:r>
      <w:r w:rsidR="00E91DD1">
        <w:t>-</w:t>
      </w:r>
      <w:r>
        <w:t xml:space="preserve">level arrangements if </w:t>
      </w:r>
      <w:r w:rsidR="00E91DD1">
        <w:t xml:space="preserve">different </w:t>
      </w:r>
      <w:r>
        <w:t xml:space="preserve">from the usual arrangements </w:t>
      </w:r>
      <w:r w:rsidR="00E91DD1">
        <w:t>(</w:t>
      </w:r>
      <w:r>
        <w:t>eg</w:t>
      </w:r>
      <w:r w:rsidR="00E91DD1">
        <w:t> </w:t>
      </w:r>
      <w:r>
        <w:t>technical review group</w:t>
      </w:r>
      <w:r w:rsidR="00E91DD1">
        <w:t>)</w:t>
      </w:r>
    </w:p>
    <w:p w14:paraId="5F51A898" w14:textId="77777777" w:rsidR="002A19B8" w:rsidRPr="00E91DD1" w:rsidRDefault="002A19B8" w:rsidP="00E91DD1">
      <w:pPr>
        <w:pStyle w:val="NormalBeforeBullet"/>
        <w:rPr>
          <w:b/>
        </w:rPr>
      </w:pPr>
      <w:r w:rsidRPr="00E91DD1">
        <w:rPr>
          <w:b/>
        </w:rPr>
        <w:t>Performance indicators and milestones</w:t>
      </w:r>
    </w:p>
    <w:p w14:paraId="5ABDB4D2" w14:textId="14C7B4CF" w:rsidR="002A19B8" w:rsidRDefault="00E91DD1" w:rsidP="003775D3">
      <w:pPr>
        <w:pStyle w:val="Bullet"/>
      </w:pPr>
      <w:r>
        <w:t>C</w:t>
      </w:r>
      <w:r w:rsidR="002A19B8">
        <w:t xml:space="preserve">over all activities of the response and not just field activities </w:t>
      </w:r>
      <w:r>
        <w:t>(</w:t>
      </w:r>
      <w:r w:rsidR="002A19B8">
        <w:t>eg</w:t>
      </w:r>
      <w:r>
        <w:t> </w:t>
      </w:r>
      <w:r w:rsidR="002A19B8">
        <w:t xml:space="preserve">laboratory performance, </w:t>
      </w:r>
      <w:r>
        <w:t>c</w:t>
      </w:r>
      <w:r w:rsidR="002A19B8">
        <w:t xml:space="preserve">ommunications and </w:t>
      </w:r>
      <w:r>
        <w:t>m</w:t>
      </w:r>
      <w:r w:rsidR="002A19B8">
        <w:t>edia</w:t>
      </w:r>
      <w:r>
        <w:t>)</w:t>
      </w:r>
    </w:p>
    <w:p w14:paraId="3ACEC1D1" w14:textId="0425A93B" w:rsidR="002A19B8" w:rsidRPr="000771FC" w:rsidRDefault="002A19B8" w:rsidP="00230CCC">
      <w:pPr>
        <w:pStyle w:val="BulletLast"/>
      </w:pPr>
      <w:r>
        <w:t>Includes any review points of the response</w:t>
      </w:r>
    </w:p>
    <w:p w14:paraId="28EE4D7D" w14:textId="77777777" w:rsidR="002A19B8" w:rsidRPr="00E91DD1" w:rsidRDefault="002A19B8" w:rsidP="00E91DD1">
      <w:pPr>
        <w:pStyle w:val="NormalBeforeBullet"/>
        <w:rPr>
          <w:b/>
        </w:rPr>
      </w:pPr>
      <w:r w:rsidRPr="00E91DD1">
        <w:rPr>
          <w:b/>
        </w:rPr>
        <w:t>Budget</w:t>
      </w:r>
    </w:p>
    <w:p w14:paraId="591F70BA" w14:textId="4AC2E6AF" w:rsidR="002A19B8" w:rsidRDefault="002A19B8" w:rsidP="003775D3">
      <w:pPr>
        <w:pStyle w:val="Bullet"/>
      </w:pPr>
      <w:r>
        <w:t>Indicative total budget – detailed</w:t>
      </w:r>
      <w:r w:rsidR="00E91DD1">
        <w:t>,</w:t>
      </w:r>
      <w:r>
        <w:t xml:space="preserve"> showing </w:t>
      </w:r>
      <w:r w:rsidR="00E91DD1">
        <w:t>n</w:t>
      </w:r>
      <w:r>
        <w:t xml:space="preserve">ormal </w:t>
      </w:r>
      <w:r w:rsidR="00E91DD1">
        <w:t>c</w:t>
      </w:r>
      <w:r>
        <w:t xml:space="preserve">ommitment costs (in kind) and </w:t>
      </w:r>
      <w:r w:rsidR="00E91DD1">
        <w:t>e</w:t>
      </w:r>
      <w:r>
        <w:t xml:space="preserve">ligible </w:t>
      </w:r>
      <w:r w:rsidR="00E91DD1">
        <w:t>c</w:t>
      </w:r>
      <w:r>
        <w:t>osts for each functional area (will need to demonstrate how costs were determined)</w:t>
      </w:r>
    </w:p>
    <w:p w14:paraId="263471E1" w14:textId="77777777" w:rsidR="002A19B8" w:rsidRDefault="002A19B8" w:rsidP="003775D3">
      <w:pPr>
        <w:pStyle w:val="Bullet"/>
      </w:pPr>
      <w:r>
        <w:t>Budget report showing any deviation from indicative budget if not initial version</w:t>
      </w:r>
    </w:p>
    <w:p w14:paraId="45018434" w14:textId="77777777" w:rsidR="002A19B8" w:rsidRPr="002230A4" w:rsidRDefault="002A19B8" w:rsidP="00230CCC">
      <w:pPr>
        <w:pStyle w:val="BulletLast"/>
      </w:pPr>
      <w:r>
        <w:t>Detailed tables supported by graphs</w:t>
      </w:r>
    </w:p>
    <w:p w14:paraId="663992F5" w14:textId="77777777" w:rsidR="002A19B8" w:rsidRPr="00E91DD1" w:rsidRDefault="002A19B8" w:rsidP="00E91DD1">
      <w:pPr>
        <w:pStyle w:val="NormalBeforeBullet"/>
        <w:rPr>
          <w:b/>
        </w:rPr>
      </w:pPr>
      <w:r w:rsidRPr="00E91DD1">
        <w:rPr>
          <w:b/>
        </w:rPr>
        <w:t>References</w:t>
      </w:r>
    </w:p>
    <w:p w14:paraId="49C7B990" w14:textId="3AA809E7" w:rsidR="002A19B8" w:rsidRPr="00092C87" w:rsidRDefault="00E91DD1" w:rsidP="00230CCC">
      <w:pPr>
        <w:pStyle w:val="BulletLast"/>
      </w:pPr>
      <w:r>
        <w:t>A</w:t>
      </w:r>
      <w:r w:rsidR="002A19B8" w:rsidRPr="00092C87">
        <w:t xml:space="preserve">ny references citied in </w:t>
      </w:r>
      <w:r>
        <w:t>NRP,</w:t>
      </w:r>
      <w:r w:rsidRPr="00092C87">
        <w:t xml:space="preserve"> </w:t>
      </w:r>
      <w:r w:rsidR="002A19B8" w:rsidRPr="00092C87">
        <w:t xml:space="preserve">especially </w:t>
      </w:r>
      <w:r>
        <w:t>under ‘</w:t>
      </w:r>
      <w:r w:rsidR="002A19B8" w:rsidRPr="00092C87">
        <w:t>Disease</w:t>
      </w:r>
      <w:r>
        <w:t>’</w:t>
      </w:r>
    </w:p>
    <w:p w14:paraId="0E26AD1F" w14:textId="77777777" w:rsidR="002A19B8" w:rsidRPr="00E91DD1" w:rsidRDefault="002A19B8" w:rsidP="00E91DD1">
      <w:pPr>
        <w:pStyle w:val="NormalBeforeBullet"/>
        <w:rPr>
          <w:b/>
        </w:rPr>
      </w:pPr>
      <w:r w:rsidRPr="00E91DD1">
        <w:rPr>
          <w:b/>
        </w:rPr>
        <w:t xml:space="preserve">Appendix </w:t>
      </w:r>
    </w:p>
    <w:p w14:paraId="7CCC2FA3" w14:textId="3BB74111" w:rsidR="002A19B8" w:rsidRPr="002207E2" w:rsidRDefault="00E91DD1" w:rsidP="00230CCC">
      <w:pPr>
        <w:pStyle w:val="BulletLast"/>
      </w:pPr>
      <w:r>
        <w:t>A</w:t>
      </w:r>
      <w:r w:rsidR="002A19B8" w:rsidRPr="00092C87">
        <w:t xml:space="preserve">ny supporting documents such </w:t>
      </w:r>
      <w:r w:rsidR="002A19B8" w:rsidRPr="002207E2">
        <w:t>as Surveillance Plan</w:t>
      </w:r>
      <w:r w:rsidRPr="002207E2">
        <w:t>;</w:t>
      </w:r>
      <w:r w:rsidR="002A19B8" w:rsidRPr="002207E2">
        <w:t xml:space="preserve"> </w:t>
      </w:r>
      <w:r w:rsidR="00AC1021" w:rsidRPr="002207E2">
        <w:t>Resource Plan</w:t>
      </w:r>
      <w:r w:rsidRPr="002207E2">
        <w:t>;</w:t>
      </w:r>
      <w:r w:rsidR="00AC1021" w:rsidRPr="002207E2">
        <w:t xml:space="preserve"> </w:t>
      </w:r>
      <w:r w:rsidR="002207E2">
        <w:t xml:space="preserve">and </w:t>
      </w:r>
      <w:r w:rsidR="002A19B8" w:rsidRPr="002207E2">
        <w:t>Communications</w:t>
      </w:r>
      <w:r w:rsidRPr="002207E2">
        <w:t>,</w:t>
      </w:r>
      <w:r w:rsidR="002A19B8" w:rsidRPr="002207E2">
        <w:t xml:space="preserve"> Community Engagement </w:t>
      </w:r>
      <w:r w:rsidR="00AC1021" w:rsidRPr="002207E2">
        <w:t xml:space="preserve">and Media </w:t>
      </w:r>
      <w:r w:rsidR="002A19B8" w:rsidRPr="002207E2">
        <w:t>Plan</w:t>
      </w:r>
    </w:p>
    <w:p w14:paraId="45BA534F" w14:textId="58494B70" w:rsidR="00F12450" w:rsidRDefault="00F12450">
      <w:pPr>
        <w:rPr>
          <w:color w:val="000000" w:themeColor="text1"/>
          <w:szCs w:val="24"/>
        </w:rPr>
      </w:pPr>
      <w:r>
        <w:rPr>
          <w:color w:val="000000" w:themeColor="text1"/>
          <w:szCs w:val="24"/>
        </w:rPr>
        <w:br w:type="page"/>
      </w:r>
    </w:p>
    <w:p w14:paraId="24A87C07" w14:textId="66047DFC" w:rsidR="000266D1" w:rsidRPr="001C589B" w:rsidRDefault="000266D1" w:rsidP="000266D1">
      <w:pPr>
        <w:pStyle w:val="Heading1"/>
      </w:pPr>
      <w:bookmarkStart w:id="99" w:name="_Toc529783798"/>
      <w:bookmarkStart w:id="100" w:name="_Hlk503449532"/>
      <w:bookmarkStart w:id="101" w:name="_Hlk508719116"/>
      <w:r>
        <w:t>Appendix 2</w:t>
      </w:r>
      <w:r>
        <w:tab/>
      </w:r>
      <w:r w:rsidRPr="001C589B">
        <w:t>Situation report template and guidelines</w:t>
      </w:r>
      <w:bookmarkEnd w:id="99"/>
      <w:r w:rsidRPr="001C589B">
        <w:t xml:space="preserve"> </w:t>
      </w:r>
    </w:p>
    <w:bookmarkEnd w:id="100"/>
    <w:p w14:paraId="6EAACFD6" w14:textId="2FC67F8E" w:rsidR="000266D1" w:rsidRPr="00256EBF" w:rsidRDefault="000266D1" w:rsidP="000266D1">
      <w:pPr>
        <w:pStyle w:val="Heading2a"/>
        <w:rPr>
          <w:noProof/>
        </w:rPr>
      </w:pPr>
      <w:r>
        <w:rPr>
          <w:noProof/>
        </w:rPr>
        <w:t>Preparing a s</w:t>
      </w:r>
      <w:r w:rsidRPr="00256EBF">
        <w:rPr>
          <w:noProof/>
        </w:rPr>
        <w:t xml:space="preserve">ituation </w:t>
      </w:r>
      <w:r>
        <w:rPr>
          <w:noProof/>
        </w:rPr>
        <w:t>r</w:t>
      </w:r>
      <w:r w:rsidRPr="00256EBF">
        <w:rPr>
          <w:noProof/>
        </w:rPr>
        <w:t>eport</w:t>
      </w:r>
    </w:p>
    <w:p w14:paraId="29F446E5" w14:textId="1B1FC54A" w:rsidR="000266D1" w:rsidRDefault="000266D1" w:rsidP="000266D1">
      <w:pPr>
        <w:pStyle w:val="Bullet"/>
        <w:rPr>
          <w:noProof/>
        </w:rPr>
      </w:pPr>
      <w:r>
        <w:rPr>
          <w:noProof/>
        </w:rPr>
        <w:t>A situation report (sitrep) should be a concise description of information for the period covered by the report. The operational period is the time since the last report was issued (what has happened, progress to date) and the time until the next report is issued (future progress, what will be done).</w:t>
      </w:r>
    </w:p>
    <w:p w14:paraId="1B50864D" w14:textId="3AD7D3A6" w:rsidR="000266D1" w:rsidRDefault="000266D1" w:rsidP="000266D1">
      <w:pPr>
        <w:pStyle w:val="Bullet"/>
        <w:rPr>
          <w:noProof/>
        </w:rPr>
      </w:pPr>
      <w:r>
        <w:rPr>
          <w:noProof/>
        </w:rPr>
        <w:t>Information going back to the start of a response is not usually included in each version of a sitrep. A very short narrative of key events since the start may be included (eg start date, key decision dates).</w:t>
      </w:r>
    </w:p>
    <w:p w14:paraId="7B3CF9E8" w14:textId="3454D4BF" w:rsidR="000266D1" w:rsidRDefault="000266D1" w:rsidP="000266D1">
      <w:pPr>
        <w:pStyle w:val="Bullet"/>
        <w:rPr>
          <w:noProof/>
        </w:rPr>
      </w:pPr>
      <w:r>
        <w:rPr>
          <w:noProof/>
        </w:rPr>
        <w:t xml:space="preserve">Sitreps present information that allows the reader to develop a high level of shared situational awareness. The sitrep should be the headlines presented in a way that tells the story. Ideally, it includes maps, graphs and tables of collated and anlaysed data that present the picture, rather than the reader having to do their own analysis. Lots of numbers do not tell the story. What story are the numbers telling? </w:t>
      </w:r>
    </w:p>
    <w:p w14:paraId="6D4C337D" w14:textId="6D719A28" w:rsidR="000266D1" w:rsidRDefault="000266D1" w:rsidP="000266D1">
      <w:pPr>
        <w:pStyle w:val="Bullet"/>
        <w:rPr>
          <w:noProof/>
        </w:rPr>
      </w:pPr>
      <w:r>
        <w:rPr>
          <w:noProof/>
        </w:rPr>
        <w:t>Where relevant, each section of the sitrep should show variation since the last report (increase, decrease, stable, etc).</w:t>
      </w:r>
    </w:p>
    <w:p w14:paraId="1F602624" w14:textId="3A33ED84" w:rsidR="000266D1" w:rsidRDefault="000266D1" w:rsidP="000266D1">
      <w:pPr>
        <w:pStyle w:val="Bullet"/>
        <w:rPr>
          <w:noProof/>
        </w:rPr>
      </w:pPr>
      <w:r>
        <w:rPr>
          <w:noProof/>
        </w:rPr>
        <w:t>Any variation to predicted and scheduled actions and tasks, tactics, and so on should be reported.</w:t>
      </w:r>
    </w:p>
    <w:p w14:paraId="46A403ED" w14:textId="77777777" w:rsidR="000266D1" w:rsidRDefault="000266D1" w:rsidP="000266D1">
      <w:pPr>
        <w:pStyle w:val="Bullet"/>
        <w:rPr>
          <w:noProof/>
        </w:rPr>
      </w:pPr>
      <w:r>
        <w:rPr>
          <w:noProof/>
        </w:rPr>
        <w:t>The sitrep should not just be a list of tasks or actions. It is not a job list.</w:t>
      </w:r>
    </w:p>
    <w:p w14:paraId="1D377491" w14:textId="6CE69781" w:rsidR="000266D1" w:rsidRDefault="000266D1" w:rsidP="000266D1">
      <w:pPr>
        <w:pStyle w:val="Bullet"/>
        <w:rPr>
          <w:noProof/>
        </w:rPr>
      </w:pPr>
      <w:r>
        <w:rPr>
          <w:noProof/>
        </w:rPr>
        <w:t xml:space="preserve">The sitrep from the State Coordination Centre (SCC) is a strategic-level document that will be read by senior managers and ministers. It should include an executive summary for this audience. Other readers will want more detail. </w:t>
      </w:r>
    </w:p>
    <w:p w14:paraId="737F8D81" w14:textId="07870D3F" w:rsidR="000266D1" w:rsidRDefault="000266D1" w:rsidP="000266D1">
      <w:pPr>
        <w:pStyle w:val="Bullet"/>
        <w:rPr>
          <w:noProof/>
        </w:rPr>
      </w:pPr>
      <w:r>
        <w:rPr>
          <w:noProof/>
        </w:rPr>
        <w:t xml:space="preserve">It is important that the SCC reports against aim, objectives, performance indicators and milestones of the </w:t>
      </w:r>
      <w:r w:rsidRPr="00E42579">
        <w:t>National Biosecurity Incident Response Plan</w:t>
      </w:r>
      <w:r>
        <w:rPr>
          <w:noProof/>
        </w:rPr>
        <w:t>.</w:t>
      </w:r>
    </w:p>
    <w:p w14:paraId="7F647BDB" w14:textId="0BF20C88" w:rsidR="000266D1" w:rsidRDefault="000266D1" w:rsidP="000266D1">
      <w:pPr>
        <w:pStyle w:val="Bullet"/>
        <w:rPr>
          <w:noProof/>
        </w:rPr>
      </w:pPr>
      <w:r>
        <w:rPr>
          <w:noProof/>
        </w:rPr>
        <w:t xml:space="preserve">The sitrep by the Local Control Centre is an operational reporting document. It is important that readers are appraised of progress in the field. </w:t>
      </w:r>
    </w:p>
    <w:p w14:paraId="4CF07346" w14:textId="29AEFCB9" w:rsidR="000266D1" w:rsidRPr="00256EBF" w:rsidRDefault="000266D1" w:rsidP="000266D1">
      <w:pPr>
        <w:pStyle w:val="BulletLast"/>
        <w:rPr>
          <w:noProof/>
        </w:rPr>
      </w:pPr>
      <w:r>
        <w:rPr>
          <w:noProof/>
        </w:rPr>
        <w:t xml:space="preserve">Usually, the full period between sitreps will be needed to collect, collate and analyse the information to go in the sitrep. One-third of that time will be given to actually drafting the sitrep. </w:t>
      </w:r>
    </w:p>
    <w:p w14:paraId="3F8321DE" w14:textId="77777777" w:rsidR="000266D1" w:rsidRPr="00256EBF" w:rsidRDefault="000266D1" w:rsidP="000266D1">
      <w:pPr>
        <w:tabs>
          <w:tab w:val="left" w:pos="5954"/>
          <w:tab w:val="left" w:pos="6946"/>
          <w:tab w:val="left" w:pos="9498"/>
        </w:tabs>
        <w:spacing w:after="20"/>
        <w:ind w:right="142"/>
        <w:jc w:val="both"/>
        <w:rPr>
          <w:noProof/>
        </w:rPr>
      </w:pPr>
      <w:r>
        <w:rPr>
          <w:noProof/>
        </w:rPr>
        <mc:AlternateContent>
          <mc:Choice Requires="wps">
            <w:drawing>
              <wp:anchor distT="0" distB="0" distL="114300" distR="114300" simplePos="0" relativeHeight="251660288" behindDoc="0" locked="0" layoutInCell="1" allowOverlap="1" wp14:anchorId="2C5FEA72" wp14:editId="76B1D35B">
                <wp:simplePos x="0" y="0"/>
                <wp:positionH relativeFrom="column">
                  <wp:posOffset>6350</wp:posOffset>
                </wp:positionH>
                <wp:positionV relativeFrom="paragraph">
                  <wp:posOffset>27940</wp:posOffset>
                </wp:positionV>
                <wp:extent cx="6254750" cy="38100"/>
                <wp:effectExtent l="0" t="0" r="31750" b="19050"/>
                <wp:wrapNone/>
                <wp:docPr id="88" name="Straight Connector 88"/>
                <wp:cNvGraphicFramePr/>
                <a:graphic xmlns:a="http://schemas.openxmlformats.org/drawingml/2006/main">
                  <a:graphicData uri="http://schemas.microsoft.com/office/word/2010/wordprocessingShape">
                    <wps:wsp>
                      <wps:cNvCnPr/>
                      <wps:spPr>
                        <a:xfrm flipV="1">
                          <a:off x="0" y="0"/>
                          <a:ext cx="6254750" cy="381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DCA6178" id="Straight Connector 88"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5pt,2.2pt" to="493pt,5.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" strokecolor="black [3213]" strokeweight=".5pt">
                <v:stroke joinstyle="miter"/>
              </v:line>
            </w:pict>
          </mc:Fallback>
        </mc:AlternateContent>
      </w:r>
    </w:p>
    <w:p w14:paraId="24B70888" w14:textId="3922019A" w:rsidR="000266D1" w:rsidRPr="009D5E03" w:rsidRDefault="000266D1" w:rsidP="000266D1">
      <w:pPr>
        <w:pStyle w:val="Heading3a"/>
      </w:pPr>
      <w:r>
        <w:t>Cover</w:t>
      </w:r>
      <w:r w:rsidRPr="009D5E03">
        <w:t xml:space="preserve"> page</w:t>
      </w:r>
    </w:p>
    <w:p w14:paraId="1CCF1CCE" w14:textId="77777777" w:rsidR="000266D1" w:rsidRPr="009D5E03" w:rsidRDefault="000266D1" w:rsidP="000266D1">
      <w:pPr>
        <w:pStyle w:val="Bullet"/>
        <w:rPr>
          <w:sz w:val="20"/>
        </w:rPr>
      </w:pPr>
      <w:r w:rsidRPr="009D5E03">
        <w:t>Agency</w:t>
      </w:r>
      <w:r w:rsidRPr="009D5E03">
        <w:rPr>
          <w:noProof/>
        </w:rPr>
        <w:t xml:space="preserve"> logo and letterhead</w:t>
      </w:r>
    </w:p>
    <w:p w14:paraId="5CD629BD" w14:textId="77777777" w:rsidR="000266D1" w:rsidRPr="009D5E03" w:rsidRDefault="000266D1" w:rsidP="000266D1">
      <w:pPr>
        <w:pStyle w:val="Bullet"/>
      </w:pPr>
      <w:r w:rsidRPr="009D5E03">
        <w:t xml:space="preserve">State Coordination Centre </w:t>
      </w:r>
      <w:r>
        <w:t>name and location</w:t>
      </w:r>
    </w:p>
    <w:p w14:paraId="1F0C3265" w14:textId="77777777" w:rsidR="000266D1" w:rsidRPr="005958EF" w:rsidRDefault="000266D1" w:rsidP="000266D1">
      <w:pPr>
        <w:pStyle w:val="Bullet"/>
        <w:rPr>
          <w:rFonts w:cs="Arial"/>
        </w:rPr>
      </w:pPr>
      <w:r w:rsidRPr="009D5E03">
        <w:rPr>
          <w:rFonts w:cs="Arial"/>
        </w:rPr>
        <w:t>Address and contact details</w:t>
      </w:r>
    </w:p>
    <w:p w14:paraId="48796060" w14:textId="68A433DB" w:rsidR="000266D1" w:rsidRPr="004C2851" w:rsidRDefault="000266D1" w:rsidP="000266D1">
      <w:pPr>
        <w:pStyle w:val="BulletLast"/>
      </w:pPr>
      <w:r>
        <w:t>Response title</w:t>
      </w:r>
    </w:p>
    <w:p w14:paraId="73731C1D" w14:textId="77777777" w:rsidR="000266D1" w:rsidRPr="004C2851" w:rsidRDefault="000266D1" w:rsidP="000266D1">
      <w:pPr>
        <w:spacing w:after="0"/>
        <w:jc w:val="both"/>
        <w:rPr>
          <w:rFonts w:cs="Arial"/>
        </w:rPr>
      </w:pPr>
    </w:p>
    <w:tbl>
      <w:tblPr>
        <w:tblStyle w:val="TableGrid"/>
        <w:tblW w:w="9967" w:type="dxa"/>
        <w:tblInd w:w="108" w:type="dxa"/>
        <w:tblLook w:val="04A0" w:firstRow="1" w:lastRow="0" w:firstColumn="1" w:lastColumn="0" w:noHBand="0" w:noVBand="1"/>
      </w:tblPr>
      <w:tblGrid>
        <w:gridCol w:w="1507"/>
        <w:gridCol w:w="3870"/>
        <w:gridCol w:w="4590"/>
      </w:tblGrid>
      <w:tr w:rsidR="000266D1" w:rsidRPr="004C2851" w14:paraId="2A4E418E" w14:textId="77777777" w:rsidTr="000266D1">
        <w:tc>
          <w:tcPr>
            <w:tcW w:w="1507" w:type="dxa"/>
            <w:vAlign w:val="center"/>
          </w:tcPr>
          <w:p w14:paraId="220A6B30" w14:textId="77777777" w:rsidR="000266D1" w:rsidRPr="00550CCF" w:rsidRDefault="000266D1" w:rsidP="000266D1">
            <w:pPr>
              <w:pStyle w:val="TableText0"/>
              <w:rPr>
                <w:b/>
              </w:rPr>
            </w:pPr>
            <w:bookmarkStart w:id="102" w:name="_Toc392917418"/>
            <w:bookmarkStart w:id="103" w:name="_Toc392917726"/>
            <w:bookmarkStart w:id="104" w:name="_Toc392917419"/>
            <w:bookmarkStart w:id="105" w:name="_Toc392917727"/>
            <w:bookmarkStart w:id="106" w:name="_Toc392917420"/>
            <w:bookmarkStart w:id="107" w:name="_Toc392917728"/>
            <w:bookmarkStart w:id="108" w:name="_Toc392917421"/>
            <w:bookmarkStart w:id="109" w:name="_Toc392917729"/>
            <w:bookmarkStart w:id="110" w:name="_Toc392917422"/>
            <w:bookmarkStart w:id="111" w:name="_Toc392917730"/>
            <w:bookmarkStart w:id="112" w:name="_Toc392917431"/>
            <w:bookmarkStart w:id="113" w:name="_Toc392917739"/>
            <w:bookmarkEnd w:id="102"/>
            <w:bookmarkEnd w:id="103"/>
            <w:bookmarkEnd w:id="104"/>
            <w:bookmarkEnd w:id="105"/>
            <w:bookmarkEnd w:id="106"/>
            <w:bookmarkEnd w:id="107"/>
            <w:bookmarkEnd w:id="108"/>
            <w:bookmarkEnd w:id="109"/>
            <w:bookmarkEnd w:id="110"/>
            <w:bookmarkEnd w:id="111"/>
            <w:bookmarkEnd w:id="112"/>
            <w:bookmarkEnd w:id="113"/>
            <w:r w:rsidRPr="00550CCF">
              <w:rPr>
                <w:b/>
              </w:rPr>
              <w:t>Report</w:t>
            </w:r>
          </w:p>
        </w:tc>
        <w:tc>
          <w:tcPr>
            <w:tcW w:w="8460" w:type="dxa"/>
            <w:gridSpan w:val="2"/>
            <w:vAlign w:val="center"/>
          </w:tcPr>
          <w:p w14:paraId="04BEE470" w14:textId="77777777" w:rsidR="000266D1" w:rsidRPr="005958EF" w:rsidRDefault="000266D1" w:rsidP="000266D1">
            <w:pPr>
              <w:pStyle w:val="TableText0"/>
            </w:pPr>
            <w:r w:rsidRPr="005958EF">
              <w:t xml:space="preserve">State Coordination Centre Situation Report </w:t>
            </w:r>
          </w:p>
        </w:tc>
      </w:tr>
      <w:tr w:rsidR="000266D1" w:rsidRPr="004C2851" w14:paraId="0B621B85" w14:textId="77777777" w:rsidTr="000266D1">
        <w:tc>
          <w:tcPr>
            <w:tcW w:w="1507" w:type="dxa"/>
            <w:vAlign w:val="center"/>
          </w:tcPr>
          <w:p w14:paraId="1735A627" w14:textId="77777777" w:rsidR="000266D1" w:rsidRPr="00550CCF" w:rsidRDefault="000266D1" w:rsidP="000266D1">
            <w:pPr>
              <w:pStyle w:val="TableText0"/>
              <w:rPr>
                <w:b/>
              </w:rPr>
            </w:pPr>
            <w:r w:rsidRPr="00550CCF">
              <w:rPr>
                <w:b/>
              </w:rPr>
              <w:t>Issue date</w:t>
            </w:r>
          </w:p>
        </w:tc>
        <w:tc>
          <w:tcPr>
            <w:tcW w:w="3870" w:type="dxa"/>
            <w:vAlign w:val="center"/>
          </w:tcPr>
          <w:p w14:paraId="0033D72D" w14:textId="77777777" w:rsidR="000266D1" w:rsidRPr="005958EF" w:rsidRDefault="000266D1" w:rsidP="000266D1">
            <w:pPr>
              <w:pStyle w:val="TableText0"/>
            </w:pPr>
            <w:r w:rsidRPr="005958EF">
              <w:t>Date sitrep issued</w:t>
            </w:r>
          </w:p>
        </w:tc>
        <w:tc>
          <w:tcPr>
            <w:tcW w:w="4590" w:type="dxa"/>
            <w:vAlign w:val="center"/>
          </w:tcPr>
          <w:p w14:paraId="2A409A09" w14:textId="51EDACC1" w:rsidR="000266D1" w:rsidRPr="005958EF" w:rsidRDefault="000266D1" w:rsidP="000266D1">
            <w:pPr>
              <w:pStyle w:val="TableText0"/>
            </w:pPr>
            <w:r w:rsidRPr="005958EF">
              <w:t xml:space="preserve">Report </w:t>
            </w:r>
            <w:r>
              <w:t>number (s</w:t>
            </w:r>
            <w:r w:rsidRPr="005958EF">
              <w:t xml:space="preserve">itrep </w:t>
            </w:r>
            <w:r>
              <w:t>r</w:t>
            </w:r>
            <w:r w:rsidRPr="005958EF">
              <w:t>e</w:t>
            </w:r>
            <w:r>
              <w:t>p</w:t>
            </w:r>
            <w:r w:rsidRPr="005958EF">
              <w:t>ort number since start</w:t>
            </w:r>
            <w:r>
              <w:t>)</w:t>
            </w:r>
          </w:p>
        </w:tc>
      </w:tr>
      <w:tr w:rsidR="000266D1" w:rsidRPr="004C2851" w14:paraId="1C5F6BFB" w14:textId="77777777" w:rsidTr="000266D1">
        <w:tc>
          <w:tcPr>
            <w:tcW w:w="1507" w:type="dxa"/>
            <w:vAlign w:val="center"/>
          </w:tcPr>
          <w:p w14:paraId="4DC68566" w14:textId="77777777" w:rsidR="000266D1" w:rsidRPr="00550CCF" w:rsidRDefault="000266D1" w:rsidP="000266D1">
            <w:pPr>
              <w:pStyle w:val="TableText0"/>
              <w:rPr>
                <w:b/>
              </w:rPr>
            </w:pPr>
            <w:r w:rsidRPr="00550CCF">
              <w:rPr>
                <w:b/>
              </w:rPr>
              <w:t>Time period</w:t>
            </w:r>
          </w:p>
        </w:tc>
        <w:tc>
          <w:tcPr>
            <w:tcW w:w="3870" w:type="dxa"/>
            <w:vAlign w:val="center"/>
          </w:tcPr>
          <w:p w14:paraId="53F869DA" w14:textId="4B8D46D0" w:rsidR="000266D1" w:rsidRPr="005958EF" w:rsidRDefault="000266D1" w:rsidP="000266D1">
            <w:pPr>
              <w:pStyle w:val="TableText0"/>
            </w:pPr>
            <w:r>
              <w:t>Start date and end date for sitrep</w:t>
            </w:r>
          </w:p>
        </w:tc>
        <w:tc>
          <w:tcPr>
            <w:tcW w:w="4590" w:type="dxa"/>
            <w:vAlign w:val="center"/>
          </w:tcPr>
          <w:p w14:paraId="69772F53" w14:textId="3961301E" w:rsidR="000266D1" w:rsidRPr="005958EF" w:rsidRDefault="000266D1" w:rsidP="000266D1">
            <w:pPr>
              <w:pStyle w:val="TableText0"/>
              <w:rPr>
                <w:highlight w:val="yellow"/>
              </w:rPr>
            </w:pPr>
            <w:r w:rsidRPr="005958EF">
              <w:t>Version</w:t>
            </w:r>
            <w:r>
              <w:t xml:space="preserve"> (draft/f</w:t>
            </w:r>
            <w:r w:rsidRPr="005958EF">
              <w:t>inal</w:t>
            </w:r>
            <w:r>
              <w:t>)</w:t>
            </w:r>
          </w:p>
        </w:tc>
      </w:tr>
      <w:tr w:rsidR="000266D1" w:rsidRPr="004C2851" w14:paraId="05A9251E" w14:textId="77777777" w:rsidTr="000266D1">
        <w:tc>
          <w:tcPr>
            <w:tcW w:w="1507" w:type="dxa"/>
            <w:vAlign w:val="center"/>
          </w:tcPr>
          <w:p w14:paraId="13BE3415" w14:textId="77777777" w:rsidR="000266D1" w:rsidRPr="00550CCF" w:rsidRDefault="000266D1" w:rsidP="000266D1">
            <w:pPr>
              <w:pStyle w:val="TableText0"/>
              <w:rPr>
                <w:b/>
              </w:rPr>
            </w:pPr>
            <w:r w:rsidRPr="00550CCF">
              <w:rPr>
                <w:b/>
              </w:rPr>
              <w:t>Projection</w:t>
            </w:r>
          </w:p>
        </w:tc>
        <w:tc>
          <w:tcPr>
            <w:tcW w:w="8460" w:type="dxa"/>
            <w:gridSpan w:val="2"/>
            <w:vAlign w:val="center"/>
          </w:tcPr>
          <w:p w14:paraId="02E0D071" w14:textId="1E4B0E9B" w:rsidR="000266D1" w:rsidRPr="005958EF" w:rsidRDefault="000266D1" w:rsidP="000266D1">
            <w:pPr>
              <w:pStyle w:val="TableText0"/>
            </w:pPr>
            <w:r>
              <w:t>Period forward covered by sitrep (eg </w:t>
            </w:r>
            <w:r w:rsidRPr="005958EF">
              <w:t>2 weeks</w:t>
            </w:r>
            <w:r>
              <w:t>)</w:t>
            </w:r>
          </w:p>
        </w:tc>
      </w:tr>
      <w:tr w:rsidR="000266D1" w:rsidRPr="004C2851" w14:paraId="504FE63B" w14:textId="77777777" w:rsidTr="000266D1">
        <w:tc>
          <w:tcPr>
            <w:tcW w:w="1507" w:type="dxa"/>
            <w:vAlign w:val="center"/>
          </w:tcPr>
          <w:p w14:paraId="4501ADDE" w14:textId="77777777" w:rsidR="000266D1" w:rsidRPr="00550CCF" w:rsidRDefault="000266D1" w:rsidP="000266D1">
            <w:pPr>
              <w:pStyle w:val="TableText0"/>
              <w:rPr>
                <w:b/>
              </w:rPr>
            </w:pPr>
            <w:r w:rsidRPr="00550CCF">
              <w:rPr>
                <w:b/>
              </w:rPr>
              <w:t>Distribution</w:t>
            </w:r>
          </w:p>
        </w:tc>
        <w:tc>
          <w:tcPr>
            <w:tcW w:w="8460" w:type="dxa"/>
            <w:gridSpan w:val="2"/>
            <w:vAlign w:val="center"/>
          </w:tcPr>
          <w:p w14:paraId="6C77F070" w14:textId="77777777" w:rsidR="000266D1" w:rsidRPr="005958EF" w:rsidRDefault="000266D1" w:rsidP="000266D1">
            <w:pPr>
              <w:pStyle w:val="TableText0"/>
            </w:pPr>
          </w:p>
        </w:tc>
      </w:tr>
    </w:tbl>
    <w:p w14:paraId="244054B4" w14:textId="77777777" w:rsidR="000266D1" w:rsidRDefault="000266D1" w:rsidP="000266D1">
      <w:pPr>
        <w:tabs>
          <w:tab w:val="left" w:pos="5954"/>
          <w:tab w:val="left" w:pos="9498"/>
        </w:tabs>
        <w:spacing w:after="20"/>
        <w:ind w:right="142"/>
        <w:jc w:val="both"/>
        <w:rPr>
          <w:rFonts w:cs="Arial"/>
        </w:rPr>
      </w:pPr>
    </w:p>
    <w:p w14:paraId="5AD0C1F5" w14:textId="06AE55ED" w:rsidR="000266D1" w:rsidRPr="00F961C9" w:rsidRDefault="000266D1" w:rsidP="000266D1">
      <w:pPr>
        <w:pStyle w:val="Heading3a"/>
      </w:pPr>
      <w:r w:rsidRPr="00F961C9">
        <w:t xml:space="preserve">Executive summary </w:t>
      </w:r>
      <w:r>
        <w:t>(</w:t>
      </w:r>
      <w:r w:rsidRPr="00F961C9">
        <w:t>4</w:t>
      </w:r>
      <w:r>
        <w:t>–</w:t>
      </w:r>
      <w:r w:rsidRPr="00F961C9">
        <w:t xml:space="preserve">5 key points </w:t>
      </w:r>
      <w:r>
        <w:t xml:space="preserve">– </w:t>
      </w:r>
      <w:r w:rsidRPr="00F961C9">
        <w:t>headlines)</w:t>
      </w:r>
    </w:p>
    <w:p w14:paraId="15ADBC62" w14:textId="77777777" w:rsidR="000266D1" w:rsidRPr="00F961C9" w:rsidRDefault="000266D1" w:rsidP="000266D1">
      <w:pPr>
        <w:pStyle w:val="Bullet"/>
      </w:pPr>
      <w:r w:rsidRPr="00F961C9">
        <w:t>Report progress toward</w:t>
      </w:r>
      <w:r>
        <w:t>s</w:t>
      </w:r>
      <w:r w:rsidRPr="00F961C9">
        <w:t xml:space="preserve"> stated aim, objectives, milestones and performance indicators</w:t>
      </w:r>
      <w:r>
        <w:t>.</w:t>
      </w:r>
    </w:p>
    <w:p w14:paraId="4520BB84" w14:textId="77777777" w:rsidR="000266D1" w:rsidRPr="00F961C9" w:rsidRDefault="000266D1" w:rsidP="000266D1">
      <w:pPr>
        <w:pStyle w:val="Bullet"/>
      </w:pPr>
      <w:r w:rsidRPr="00F961C9">
        <w:t>Key numbers – number of personnel (up or down since last sitrep)</w:t>
      </w:r>
      <w:r>
        <w:t>.</w:t>
      </w:r>
    </w:p>
    <w:p w14:paraId="13C68E79" w14:textId="0030CB13" w:rsidR="000266D1" w:rsidRPr="00F961C9" w:rsidRDefault="000266D1" w:rsidP="000266D1">
      <w:pPr>
        <w:pStyle w:val="Bullet"/>
      </w:pPr>
      <w:r w:rsidRPr="00F961C9">
        <w:t xml:space="preserve">Operational outcomes </w:t>
      </w:r>
      <w:r>
        <w:t>(</w:t>
      </w:r>
      <w:r w:rsidRPr="00F961C9">
        <w:t>eg number of new cases, increase</w:t>
      </w:r>
      <w:r>
        <w:t xml:space="preserve"> or </w:t>
      </w:r>
      <w:r w:rsidRPr="00F961C9">
        <w:t>decrease in number of infected</w:t>
      </w:r>
      <w:r>
        <w:t xml:space="preserve"> </w:t>
      </w:r>
      <w:r w:rsidRPr="00F961C9">
        <w:t>premises</w:t>
      </w:r>
      <w:r>
        <w:t>).</w:t>
      </w:r>
    </w:p>
    <w:p w14:paraId="4354716D" w14:textId="04757902" w:rsidR="000266D1" w:rsidRPr="00F961C9" w:rsidRDefault="000266D1" w:rsidP="000266D1">
      <w:pPr>
        <w:pStyle w:val="Bullet"/>
      </w:pPr>
      <w:r w:rsidRPr="00F961C9">
        <w:t>Budget summary</w:t>
      </w:r>
      <w:r>
        <w:t xml:space="preserve"> and </w:t>
      </w:r>
      <w:r w:rsidRPr="00F961C9">
        <w:t xml:space="preserve">bottom line </w:t>
      </w:r>
      <w:r>
        <w:t>(</w:t>
      </w:r>
      <w:r w:rsidRPr="00F961C9">
        <w:t>eg as per scheduled budget</w:t>
      </w:r>
      <w:r>
        <w:t>).</w:t>
      </w:r>
    </w:p>
    <w:p w14:paraId="199048A7" w14:textId="77777777" w:rsidR="000266D1" w:rsidRPr="00F961C9" w:rsidRDefault="000266D1" w:rsidP="000266D1">
      <w:pPr>
        <w:pStyle w:val="BulletLast"/>
      </w:pPr>
      <w:r w:rsidRPr="00F961C9">
        <w:t>Intentions</w:t>
      </w:r>
      <w:r>
        <w:t xml:space="preserve"> and </w:t>
      </w:r>
      <w:r w:rsidRPr="00F961C9">
        <w:t>outcomes of the coming report period</w:t>
      </w:r>
      <w:r>
        <w:t>.</w:t>
      </w:r>
    </w:p>
    <w:p w14:paraId="4F3FF147" w14:textId="77777777" w:rsidR="000266D1" w:rsidRPr="005F4425" w:rsidRDefault="000266D1" w:rsidP="000266D1">
      <w:pPr>
        <w:pStyle w:val="Heading3a"/>
      </w:pPr>
      <w:r w:rsidRPr="005F4425">
        <w:t>Situation to date</w:t>
      </w:r>
      <w:r>
        <w:t xml:space="preserve"> (what has happened)</w:t>
      </w:r>
    </w:p>
    <w:p w14:paraId="63181CFD" w14:textId="77777777" w:rsidR="000266D1" w:rsidRPr="005F4425" w:rsidRDefault="000266D1" w:rsidP="000266D1">
      <w:pPr>
        <w:pStyle w:val="Bullet"/>
      </w:pPr>
      <w:r w:rsidRPr="005F4425">
        <w:t>Overview of the key points from the period covered by the current sitrep version</w:t>
      </w:r>
      <w:r>
        <w:t>.</w:t>
      </w:r>
    </w:p>
    <w:p w14:paraId="2F1CFAD7" w14:textId="604631B9" w:rsidR="000266D1" w:rsidRPr="005F4425" w:rsidRDefault="000266D1" w:rsidP="000266D1">
      <w:pPr>
        <w:pStyle w:val="Bullet"/>
      </w:pPr>
      <w:r w:rsidRPr="005F4425">
        <w:t>The current version can include a short summary of key events that may have triggered the response</w:t>
      </w:r>
      <w:r>
        <w:t>,</w:t>
      </w:r>
      <w:r w:rsidRPr="005F4425">
        <w:t xml:space="preserve"> if this gives context to the current version of the sitrep</w:t>
      </w:r>
      <w:r>
        <w:t xml:space="preserve"> (eg start date, date of confirmed national funding, date of first vaccination, date of last case detected).</w:t>
      </w:r>
    </w:p>
    <w:p w14:paraId="05CFD749" w14:textId="77777777" w:rsidR="000266D1" w:rsidRDefault="000266D1" w:rsidP="000266D1">
      <w:pPr>
        <w:pStyle w:val="Bullet"/>
      </w:pPr>
      <w:r w:rsidRPr="005F4425">
        <w:t>The situation to date should not be a narrative of matters and outcomes since the start.</w:t>
      </w:r>
    </w:p>
    <w:p w14:paraId="1182C272" w14:textId="7BF7E3B4" w:rsidR="000266D1" w:rsidRDefault="000266D1" w:rsidP="000266D1">
      <w:pPr>
        <w:pStyle w:val="BulletLast"/>
      </w:pPr>
      <w:r>
        <w:t>A graph or map will often clearly articulate for the reader the current situation in an operational sense. Before-and-after graphs, maps or tables will shows changes since the last sitrep.</w:t>
      </w:r>
    </w:p>
    <w:p w14:paraId="606A485C" w14:textId="77777777" w:rsidR="000266D1" w:rsidRPr="005F4425" w:rsidRDefault="000266D1" w:rsidP="000266D1">
      <w:pPr>
        <w:pStyle w:val="Heading3a"/>
      </w:pPr>
      <w:r w:rsidRPr="005F4425">
        <w:t>Progress to date</w:t>
      </w:r>
      <w:r>
        <w:t xml:space="preserve"> (what has been done)</w:t>
      </w:r>
    </w:p>
    <w:p w14:paraId="6866CD0F" w14:textId="6FE75F0F" w:rsidR="000266D1" w:rsidRPr="00F961C9" w:rsidRDefault="000266D1" w:rsidP="000266D1">
      <w:pPr>
        <w:pStyle w:val="Heading4"/>
      </w:pPr>
      <w:r w:rsidRPr="00F961C9">
        <w:t xml:space="preserve">Overall </w:t>
      </w:r>
      <w:r>
        <w:t>p</w:t>
      </w:r>
      <w:r w:rsidRPr="00F961C9">
        <w:t>rogress</w:t>
      </w:r>
    </w:p>
    <w:p w14:paraId="4AD597E8" w14:textId="77777777" w:rsidR="000266D1" w:rsidRDefault="000266D1" w:rsidP="000266D1">
      <w:pPr>
        <w:pStyle w:val="Bullet"/>
      </w:pPr>
      <w:r w:rsidRPr="00F961C9">
        <w:t xml:space="preserve">Key achievements during the period since </w:t>
      </w:r>
      <w:r>
        <w:t xml:space="preserve">the </w:t>
      </w:r>
      <w:r w:rsidRPr="00F961C9">
        <w:t>last sitrep</w:t>
      </w:r>
      <w:r>
        <w:t>.</w:t>
      </w:r>
    </w:p>
    <w:p w14:paraId="7F3188DA" w14:textId="2D7928E2" w:rsidR="000266D1" w:rsidRDefault="000266D1" w:rsidP="000266D1">
      <w:pPr>
        <w:pStyle w:val="BulletLast"/>
      </w:pPr>
      <w:r>
        <w:t>Report against progress towards aim, objectives, performance indicators and milestones. Reporting against measures is important in each sitrep.</w:t>
      </w:r>
    </w:p>
    <w:p w14:paraId="2A5C10C7" w14:textId="77777777" w:rsidR="000266D1" w:rsidRDefault="000266D1" w:rsidP="000266D1">
      <w:pPr>
        <w:pStyle w:val="Heading4"/>
      </w:pPr>
      <w:r w:rsidRPr="0032466C">
        <w:t>Operations</w:t>
      </w:r>
      <w:r>
        <w:t xml:space="preserve"> activities and outcomes</w:t>
      </w:r>
    </w:p>
    <w:p w14:paraId="28FC6641" w14:textId="77777777" w:rsidR="000266D1" w:rsidRDefault="000266D1" w:rsidP="000266D1">
      <w:pPr>
        <w:pStyle w:val="Bullet"/>
      </w:pPr>
      <w:r>
        <w:t>Maps, n</w:t>
      </w:r>
      <w:r w:rsidRPr="0032466C">
        <w:t>umbers</w:t>
      </w:r>
      <w:r>
        <w:t>, graphs, tables to show the results of field activities.</w:t>
      </w:r>
    </w:p>
    <w:p w14:paraId="75EB9BC9" w14:textId="1C22408B" w:rsidR="000266D1" w:rsidRDefault="000266D1" w:rsidP="000266D1">
      <w:pPr>
        <w:pStyle w:val="Bullet"/>
      </w:pPr>
      <w:r>
        <w:t>Pictures can be used if they will develop a shared understanding by the reader better than text.</w:t>
      </w:r>
    </w:p>
    <w:p w14:paraId="6AC4557E" w14:textId="11EFFD3A" w:rsidR="000266D1" w:rsidRDefault="000266D1" w:rsidP="000266D1">
      <w:pPr>
        <w:pStyle w:val="Bullet"/>
      </w:pPr>
      <w:r>
        <w:t>Report for each operational functional area (eg surveillance, vaccination, compliance).</w:t>
      </w:r>
    </w:p>
    <w:p w14:paraId="0910BD23" w14:textId="77777777" w:rsidR="000266D1" w:rsidRDefault="000266D1" w:rsidP="000266D1">
      <w:pPr>
        <w:pStyle w:val="BulletLast"/>
      </w:pPr>
      <w:r>
        <w:t>It should be clear what the changes have been since the last sitrep – increase or decrease?</w:t>
      </w:r>
    </w:p>
    <w:p w14:paraId="62348CA7" w14:textId="77777777" w:rsidR="000266D1" w:rsidRDefault="000266D1" w:rsidP="000266D1">
      <w:pPr>
        <w:pStyle w:val="Heading4"/>
      </w:pPr>
      <w:r>
        <w:t>Planning activities and outcomes</w:t>
      </w:r>
    </w:p>
    <w:p w14:paraId="1504D191" w14:textId="77777777" w:rsidR="000266D1" w:rsidRPr="009D5E03" w:rsidRDefault="000266D1" w:rsidP="000266D1">
      <w:pPr>
        <w:pStyle w:val="Bullet"/>
      </w:pPr>
      <w:r w:rsidRPr="001B02CC">
        <w:t>Report on outcomes of analyses</w:t>
      </w:r>
      <w:r>
        <w:t>.</w:t>
      </w:r>
    </w:p>
    <w:p w14:paraId="74E8548E" w14:textId="77777777" w:rsidR="000266D1" w:rsidRPr="001B02CC" w:rsidRDefault="000266D1" w:rsidP="000266D1">
      <w:pPr>
        <w:pStyle w:val="BulletLast"/>
      </w:pPr>
      <w:r w:rsidRPr="001B02CC">
        <w:t>Maps, tables, graphs to show progress toward</w:t>
      </w:r>
      <w:r>
        <w:t>s</w:t>
      </w:r>
      <w:r w:rsidRPr="001B02CC">
        <w:t xml:space="preserve"> stated outcomes</w:t>
      </w:r>
      <w:r>
        <w:t>.</w:t>
      </w:r>
    </w:p>
    <w:p w14:paraId="1000C439" w14:textId="77777777" w:rsidR="000266D1" w:rsidRDefault="000266D1" w:rsidP="000266D1">
      <w:pPr>
        <w:pStyle w:val="Heading4"/>
      </w:pPr>
      <w:r>
        <w:t>Logistics activities and outcomes</w:t>
      </w:r>
    </w:p>
    <w:p w14:paraId="0874831F" w14:textId="5BFA1804" w:rsidR="000266D1" w:rsidRPr="009D5E03" w:rsidRDefault="000266D1" w:rsidP="000266D1">
      <w:pPr>
        <w:pStyle w:val="Bullet"/>
      </w:pPr>
      <w:r w:rsidRPr="001B02CC">
        <w:t>Resourcing</w:t>
      </w:r>
      <w:r w:rsidRPr="009D5E03">
        <w:t xml:space="preserve"> </w:t>
      </w:r>
      <w:r w:rsidRPr="001B02CC">
        <w:t xml:space="preserve">levels </w:t>
      </w:r>
      <w:r>
        <w:t>(eg numbers of personnel and staff per day, including by agency and partners; contractors; units of resource).</w:t>
      </w:r>
    </w:p>
    <w:p w14:paraId="78D6E984" w14:textId="77777777" w:rsidR="000266D1" w:rsidRDefault="000266D1" w:rsidP="000266D1">
      <w:pPr>
        <w:pStyle w:val="Bullet"/>
      </w:pPr>
      <w:r w:rsidRPr="001B02CC">
        <w:t xml:space="preserve">Facilities management and </w:t>
      </w:r>
      <w:r>
        <w:t>related activities.</w:t>
      </w:r>
    </w:p>
    <w:p w14:paraId="67C96210" w14:textId="247832A3" w:rsidR="000266D1" w:rsidRDefault="000266D1" w:rsidP="000266D1">
      <w:pPr>
        <w:pStyle w:val="BulletLast"/>
      </w:pPr>
      <w:r>
        <w:t>Records management may include number of files, emails sent and received, files archived.</w:t>
      </w:r>
    </w:p>
    <w:p w14:paraId="33C3FC6B" w14:textId="77777777" w:rsidR="000266D1" w:rsidRDefault="000266D1" w:rsidP="000266D1">
      <w:pPr>
        <w:pStyle w:val="Heading4"/>
      </w:pPr>
      <w:r>
        <w:t>Management</w:t>
      </w:r>
    </w:p>
    <w:p w14:paraId="00B77156" w14:textId="77777777" w:rsidR="000266D1" w:rsidRPr="009D5E03" w:rsidRDefault="000266D1" w:rsidP="000266D1">
      <w:pPr>
        <w:pStyle w:val="Bullet"/>
      </w:pPr>
      <w:r w:rsidRPr="00AF5C26">
        <w:t>Can be included if it is important to demonstrate structure and systems across a large response</w:t>
      </w:r>
      <w:r>
        <w:t>.</w:t>
      </w:r>
    </w:p>
    <w:p w14:paraId="1883A944" w14:textId="37C83EC8" w:rsidR="000266D1" w:rsidRDefault="000266D1" w:rsidP="000266D1">
      <w:pPr>
        <w:pStyle w:val="Bullet"/>
      </w:pPr>
      <w:r>
        <w:t xml:space="preserve">May be as simple as </w:t>
      </w:r>
      <w:r w:rsidRPr="00AF5C26">
        <w:t xml:space="preserve">management structure </w:t>
      </w:r>
      <w:r>
        <w:t>given by</w:t>
      </w:r>
      <w:r w:rsidRPr="00AF5C26">
        <w:t xml:space="preserve"> </w:t>
      </w:r>
      <w:r>
        <w:t>Biosecurity Incident Management System</w:t>
      </w:r>
      <w:r w:rsidRPr="00AF5C26" w:rsidDel="00815402">
        <w:t xml:space="preserve"> </w:t>
      </w:r>
      <w:r>
        <w:t xml:space="preserve">or </w:t>
      </w:r>
      <w:r w:rsidRPr="000824B9">
        <w:t>Incident Control System</w:t>
      </w:r>
      <w:r w:rsidRPr="00AF5C26" w:rsidDel="00815402">
        <w:t xml:space="preserve"> </w:t>
      </w:r>
      <w:r w:rsidRPr="00AF5C26">
        <w:t xml:space="preserve">for </w:t>
      </w:r>
      <w:r>
        <w:t xml:space="preserve">a </w:t>
      </w:r>
      <w:r w:rsidRPr="00AF5C26">
        <w:t>level 3 incident</w:t>
      </w:r>
      <w:r>
        <w:t>.</w:t>
      </w:r>
    </w:p>
    <w:p w14:paraId="0E0151F3" w14:textId="181D46E4" w:rsidR="000266D1" w:rsidRPr="00AF5C26" w:rsidRDefault="000266D1" w:rsidP="000266D1">
      <w:pPr>
        <w:pStyle w:val="BulletLast"/>
      </w:pPr>
      <w:r>
        <w:t>Changes in personnel in key roles are often worth reporting</w:t>
      </w:r>
    </w:p>
    <w:p w14:paraId="63B197C0" w14:textId="36355033" w:rsidR="000266D1" w:rsidRDefault="000266D1" w:rsidP="000266D1">
      <w:pPr>
        <w:pStyle w:val="Heading4"/>
      </w:pPr>
      <w:r>
        <w:t>Information services</w:t>
      </w:r>
    </w:p>
    <w:p w14:paraId="2F179959" w14:textId="36529749" w:rsidR="000266D1" w:rsidRDefault="000266D1" w:rsidP="000266D1">
      <w:pPr>
        <w:pStyle w:val="BulletLast"/>
      </w:pPr>
      <w:r>
        <w:t>Optional but necessary where IT and communications (phone and digital) are a reportable area, such as in budget.</w:t>
      </w:r>
    </w:p>
    <w:p w14:paraId="3762BF7A" w14:textId="77777777" w:rsidR="000266D1" w:rsidRDefault="000266D1" w:rsidP="000266D1">
      <w:pPr>
        <w:pStyle w:val="Heading4"/>
      </w:pPr>
      <w:r w:rsidRPr="00F961C9">
        <w:t xml:space="preserve">Communications </w:t>
      </w:r>
    </w:p>
    <w:p w14:paraId="6258847C" w14:textId="19828E6F" w:rsidR="000266D1" w:rsidRDefault="000266D1" w:rsidP="000266D1">
      <w:pPr>
        <w:pStyle w:val="Bullet"/>
      </w:pPr>
      <w:r w:rsidRPr="001B02CC">
        <w:t xml:space="preserve">Report on </w:t>
      </w:r>
      <w:r>
        <w:t>channels used, stakeholder contacts, and metrics presented in tables and graphs.</w:t>
      </w:r>
    </w:p>
    <w:p w14:paraId="78DF68BA" w14:textId="77777777" w:rsidR="000266D1" w:rsidRDefault="000266D1" w:rsidP="000266D1">
      <w:pPr>
        <w:pStyle w:val="Bullet"/>
      </w:pPr>
      <w:r>
        <w:t>Report on meeting milestones and performance indicators, including those for community engagement and government.</w:t>
      </w:r>
    </w:p>
    <w:p w14:paraId="2DC1A60D" w14:textId="1086785B" w:rsidR="000266D1" w:rsidRDefault="000266D1" w:rsidP="000266D1">
      <w:pPr>
        <w:pStyle w:val="BulletLast"/>
      </w:pPr>
      <w:r>
        <w:t>Present images such as extracts from print, social media or web. This can include attached electronic recording from radio, television and online, or link to demonstrate channel use to each stakeholder.</w:t>
      </w:r>
    </w:p>
    <w:p w14:paraId="790C0B93" w14:textId="77777777" w:rsidR="000266D1" w:rsidRPr="00F961C9" w:rsidRDefault="000266D1" w:rsidP="000266D1">
      <w:pPr>
        <w:pStyle w:val="Heading4"/>
      </w:pPr>
      <w:r w:rsidRPr="00F961C9">
        <w:t>Legal</w:t>
      </w:r>
    </w:p>
    <w:p w14:paraId="5E24F1D9" w14:textId="36ABB526" w:rsidR="000266D1" w:rsidRPr="00184479" w:rsidRDefault="000266D1" w:rsidP="000266D1">
      <w:pPr>
        <w:pStyle w:val="BulletLast"/>
      </w:pPr>
      <w:r>
        <w:t>Optional – included if there have been legal activities as a result of the response (eg legislation is effective, number of infringement notices issued, case referred to court).</w:t>
      </w:r>
    </w:p>
    <w:p w14:paraId="4A5EFDCE" w14:textId="6FED3991" w:rsidR="000266D1" w:rsidRPr="00F961C9" w:rsidRDefault="000266D1" w:rsidP="000266D1">
      <w:pPr>
        <w:pStyle w:val="Heading4"/>
      </w:pPr>
      <w:r>
        <w:t>Compensation – owner reimbursement costs</w:t>
      </w:r>
    </w:p>
    <w:p w14:paraId="393B97DC" w14:textId="77777777" w:rsidR="000266D1" w:rsidRDefault="000266D1" w:rsidP="000266D1">
      <w:pPr>
        <w:pStyle w:val="Bullet"/>
      </w:pPr>
      <w:r w:rsidRPr="005F4425">
        <w:t>Graphs and tables to show status of any claims – claim number, number processed, number declined</w:t>
      </w:r>
      <w:r>
        <w:t xml:space="preserve"> and </w:t>
      </w:r>
      <w:r w:rsidRPr="005F4425">
        <w:t>not eligible</w:t>
      </w:r>
      <w:r>
        <w:t>.</w:t>
      </w:r>
    </w:p>
    <w:p w14:paraId="3E3DAC76" w14:textId="77777777" w:rsidR="000266D1" w:rsidRDefault="000266D1" w:rsidP="000266D1">
      <w:pPr>
        <w:pStyle w:val="BulletLast"/>
      </w:pPr>
      <w:r>
        <w:t>Changes since last sitrep.</w:t>
      </w:r>
    </w:p>
    <w:p w14:paraId="5F0E0707" w14:textId="7AC6714C" w:rsidR="000266D1" w:rsidRPr="00F961C9" w:rsidRDefault="000266D1" w:rsidP="000266D1">
      <w:pPr>
        <w:pStyle w:val="Heading4"/>
      </w:pPr>
      <w:r w:rsidRPr="00F961C9">
        <w:t>Health</w:t>
      </w:r>
      <w:r>
        <w:t>,</w:t>
      </w:r>
      <w:r w:rsidRPr="00F961C9">
        <w:t xml:space="preserve"> safety and wellbeing </w:t>
      </w:r>
    </w:p>
    <w:p w14:paraId="3830816B" w14:textId="2121DA80" w:rsidR="000266D1" w:rsidRDefault="000266D1" w:rsidP="000266D1">
      <w:pPr>
        <w:pStyle w:val="Bullet"/>
      </w:pPr>
      <w:r>
        <w:t>Numbers, tables and graphs to show near misses, minor injuries, and so on, with a progressive total and total since last sitrep.</w:t>
      </w:r>
    </w:p>
    <w:p w14:paraId="37E1B299" w14:textId="2AC832B3" w:rsidR="000266D1" w:rsidRDefault="000266D1" w:rsidP="000266D1">
      <w:pPr>
        <w:pStyle w:val="BulletLast"/>
      </w:pPr>
      <w:r>
        <w:t>Provide the back story on any significant incidents (near miss or actual), taking into account the need for personal privacy and legal matters that may be pending.</w:t>
      </w:r>
    </w:p>
    <w:p w14:paraId="688D716B" w14:textId="5D4DBA78" w:rsidR="000266D1" w:rsidRPr="00AF5C26" w:rsidRDefault="000266D1" w:rsidP="000266D1">
      <w:pPr>
        <w:pStyle w:val="Heading4"/>
      </w:pPr>
      <w:r w:rsidRPr="00AF5C26">
        <w:t>Other headline activ</w:t>
      </w:r>
      <w:r>
        <w:t>i</w:t>
      </w:r>
      <w:r w:rsidRPr="00AF5C26">
        <w:t>t</w:t>
      </w:r>
      <w:r>
        <w:t>ies</w:t>
      </w:r>
    </w:p>
    <w:p w14:paraId="15450DE9" w14:textId="09F76557" w:rsidR="000266D1" w:rsidRDefault="000266D1" w:rsidP="000266D1">
      <w:pPr>
        <w:pStyle w:val="Bullet"/>
      </w:pPr>
      <w:r>
        <w:t>Examples are visits or inspections, audits, reviews, debriefs.</w:t>
      </w:r>
    </w:p>
    <w:p w14:paraId="153356AC" w14:textId="178F2117" w:rsidR="000266D1" w:rsidRDefault="000266D1" w:rsidP="000266D1">
      <w:pPr>
        <w:pStyle w:val="BulletLast"/>
      </w:pPr>
      <w:r>
        <w:t>It is important that the reader does not find out about something from another source that they feel should have been in the sitrep.</w:t>
      </w:r>
    </w:p>
    <w:p w14:paraId="6D90D2B5" w14:textId="68F5332A" w:rsidR="000266D1" w:rsidRPr="005F4425" w:rsidRDefault="000266D1" w:rsidP="000266D1">
      <w:pPr>
        <w:pStyle w:val="Heading3a"/>
      </w:pPr>
      <w:r w:rsidRPr="005F4425">
        <w:t xml:space="preserve">Future </w:t>
      </w:r>
      <w:r>
        <w:t>p</w:t>
      </w:r>
      <w:r w:rsidRPr="005F4425">
        <w:t>rogress</w:t>
      </w:r>
      <w:r>
        <w:t xml:space="preserve"> (what will be done)</w:t>
      </w:r>
    </w:p>
    <w:p w14:paraId="67F05BDE" w14:textId="21B8BADC" w:rsidR="000266D1" w:rsidRPr="00F961C9" w:rsidRDefault="000266D1" w:rsidP="000266D1">
      <w:pPr>
        <w:pStyle w:val="Heading4"/>
      </w:pPr>
      <w:r w:rsidRPr="00F961C9">
        <w:t xml:space="preserve">Overall </w:t>
      </w:r>
      <w:r>
        <w:t>p</w:t>
      </w:r>
      <w:r w:rsidRPr="00F961C9">
        <w:t>rogress</w:t>
      </w:r>
    </w:p>
    <w:p w14:paraId="0B014611" w14:textId="46E55347" w:rsidR="000266D1" w:rsidRDefault="000266D1" w:rsidP="000266D1">
      <w:pPr>
        <w:pStyle w:val="Bullet"/>
      </w:pPr>
      <w:r>
        <w:t>Planned k</w:t>
      </w:r>
      <w:r w:rsidRPr="00F961C9">
        <w:t xml:space="preserve">ey achievements during the </w:t>
      </w:r>
      <w:r>
        <w:t>next reporting period.</w:t>
      </w:r>
    </w:p>
    <w:p w14:paraId="4AE9BBAA" w14:textId="66B89DF6" w:rsidR="000266D1" w:rsidRDefault="000266D1" w:rsidP="000266D1">
      <w:pPr>
        <w:pStyle w:val="BulletLast"/>
      </w:pPr>
      <w:r>
        <w:t>Refer to progress against aim, objectives, performance indicators and milestones.</w:t>
      </w:r>
    </w:p>
    <w:p w14:paraId="03D13929" w14:textId="77777777" w:rsidR="000266D1" w:rsidRDefault="000266D1" w:rsidP="000266D1">
      <w:pPr>
        <w:pStyle w:val="Heading4"/>
      </w:pPr>
      <w:r w:rsidRPr="0032466C">
        <w:t>Operations</w:t>
      </w:r>
      <w:r>
        <w:t xml:space="preserve"> activities and outcomes</w:t>
      </w:r>
    </w:p>
    <w:p w14:paraId="0C8A898D" w14:textId="0EA50531" w:rsidR="000266D1" w:rsidRDefault="000266D1" w:rsidP="000266D1">
      <w:pPr>
        <w:pStyle w:val="Bullet"/>
      </w:pPr>
      <w:r>
        <w:t>Activities and tactics scheduled for the next operational period, and the outcomes upon completion during the period.</w:t>
      </w:r>
    </w:p>
    <w:p w14:paraId="39CBADC8" w14:textId="77777777" w:rsidR="000266D1" w:rsidRDefault="000266D1" w:rsidP="000266D1">
      <w:pPr>
        <w:pStyle w:val="Bullet"/>
      </w:pPr>
      <w:r>
        <w:t>Present by functional area (surveillance, vaccination, compliance, diagnostic testing, etc).</w:t>
      </w:r>
    </w:p>
    <w:p w14:paraId="55D6970A" w14:textId="77777777" w:rsidR="000266D1" w:rsidRDefault="000266D1" w:rsidP="000266D1">
      <w:pPr>
        <w:pStyle w:val="Bullet"/>
      </w:pPr>
      <w:r>
        <w:t>Indicate any variation or changes that are planned for the period.</w:t>
      </w:r>
    </w:p>
    <w:p w14:paraId="246D3C1E" w14:textId="77777777" w:rsidR="000266D1" w:rsidRDefault="000266D1" w:rsidP="000266D1">
      <w:pPr>
        <w:pStyle w:val="Bullet"/>
      </w:pPr>
      <w:r>
        <w:t>Are there any risks? Treatments? Advise at this time so there are no surprises in the next sitrep.</w:t>
      </w:r>
    </w:p>
    <w:p w14:paraId="0DA80A71" w14:textId="77777777" w:rsidR="000266D1" w:rsidRDefault="000266D1" w:rsidP="000266D1">
      <w:pPr>
        <w:pStyle w:val="BulletLast"/>
      </w:pPr>
      <w:r>
        <w:t>Are activities stable, increasing or decreasing?</w:t>
      </w:r>
    </w:p>
    <w:p w14:paraId="02A545BB" w14:textId="77777777" w:rsidR="000266D1" w:rsidRDefault="000266D1" w:rsidP="000266D1">
      <w:pPr>
        <w:pStyle w:val="Heading4"/>
      </w:pPr>
      <w:r>
        <w:t>Planning activities and outcomes</w:t>
      </w:r>
    </w:p>
    <w:p w14:paraId="1970BEA6" w14:textId="77777777" w:rsidR="000266D1" w:rsidRPr="00B96AE9" w:rsidRDefault="000266D1" w:rsidP="000266D1">
      <w:pPr>
        <w:pStyle w:val="Bullet"/>
      </w:pPr>
      <w:r w:rsidRPr="001B02CC">
        <w:t>Report analyses</w:t>
      </w:r>
      <w:r>
        <w:t xml:space="preserve"> and reports scheduled for the coming period.</w:t>
      </w:r>
    </w:p>
    <w:p w14:paraId="154EA420" w14:textId="6BC4F42D" w:rsidR="000266D1" w:rsidRPr="001B02CC" w:rsidRDefault="000266D1" w:rsidP="000266D1">
      <w:pPr>
        <w:pStyle w:val="BulletLast"/>
      </w:pPr>
      <w:r w:rsidRPr="001B02CC">
        <w:t>Maps, tables</w:t>
      </w:r>
      <w:r>
        <w:t xml:space="preserve"> and</w:t>
      </w:r>
      <w:r w:rsidRPr="001B02CC">
        <w:t xml:space="preserve"> graphs </w:t>
      </w:r>
      <w:r>
        <w:t>that will be developed and have not been produced previously.</w:t>
      </w:r>
    </w:p>
    <w:p w14:paraId="04FB247D" w14:textId="77777777" w:rsidR="000266D1" w:rsidRDefault="000266D1" w:rsidP="000266D1">
      <w:pPr>
        <w:pStyle w:val="Heading4"/>
      </w:pPr>
      <w:r>
        <w:t>Logistics activities and outcomes</w:t>
      </w:r>
    </w:p>
    <w:p w14:paraId="31B3801D" w14:textId="55C25E35" w:rsidR="000266D1" w:rsidRPr="00B96AE9" w:rsidRDefault="000266D1" w:rsidP="000266D1">
      <w:pPr>
        <w:pStyle w:val="Bullet"/>
      </w:pPr>
      <w:r>
        <w:t>Predicted r</w:t>
      </w:r>
      <w:r w:rsidRPr="001B02CC">
        <w:t>esourcing</w:t>
      </w:r>
      <w:r w:rsidRPr="00B96AE9">
        <w:t xml:space="preserve"> </w:t>
      </w:r>
      <w:r w:rsidRPr="001B02CC">
        <w:t xml:space="preserve">levels </w:t>
      </w:r>
      <w:r>
        <w:t>(eg numbers of personnel and staff per day, contractors, units of resource – will they rise or fall?).</w:t>
      </w:r>
    </w:p>
    <w:p w14:paraId="4E46B4EC" w14:textId="77777777" w:rsidR="000266D1" w:rsidRDefault="000266D1" w:rsidP="000266D1">
      <w:pPr>
        <w:pStyle w:val="Bullet"/>
      </w:pPr>
      <w:r>
        <w:t>Changes in f</w:t>
      </w:r>
      <w:r w:rsidRPr="001B02CC">
        <w:t xml:space="preserve">acilities management and </w:t>
      </w:r>
      <w:r>
        <w:t>related activities.</w:t>
      </w:r>
    </w:p>
    <w:p w14:paraId="09979A27" w14:textId="1CA4FFDB" w:rsidR="000266D1" w:rsidRDefault="000266D1" w:rsidP="000266D1">
      <w:pPr>
        <w:pStyle w:val="BulletLast"/>
      </w:pPr>
      <w:r>
        <w:t>Ongoing records management may include number of files, emails sent and received, files archived.</w:t>
      </w:r>
    </w:p>
    <w:p w14:paraId="18018A89" w14:textId="00F83DEB" w:rsidR="000266D1" w:rsidRDefault="000266D1" w:rsidP="000266D1">
      <w:pPr>
        <w:pStyle w:val="Heading4"/>
      </w:pPr>
      <w:r>
        <w:t>Information services</w:t>
      </w:r>
    </w:p>
    <w:p w14:paraId="0E2C5E5F" w14:textId="398A5D40" w:rsidR="000266D1" w:rsidRDefault="000266D1" w:rsidP="000266D1">
      <w:pPr>
        <w:pStyle w:val="BulletLast"/>
      </w:pPr>
      <w:r>
        <w:t>Optional but necessary where IT and communications (phone and digital) are a reportable area, such as in budget. Are new or revised platforms, software, databases, and so on being deployed?</w:t>
      </w:r>
    </w:p>
    <w:p w14:paraId="572D299E" w14:textId="77777777" w:rsidR="000266D1" w:rsidRDefault="000266D1" w:rsidP="000266D1">
      <w:pPr>
        <w:pStyle w:val="Heading4"/>
      </w:pPr>
      <w:r w:rsidRPr="00F961C9">
        <w:t xml:space="preserve">Communications </w:t>
      </w:r>
    </w:p>
    <w:p w14:paraId="7AA27AB2" w14:textId="1E4CC10A" w:rsidR="000266D1" w:rsidRDefault="000266D1" w:rsidP="000266D1">
      <w:pPr>
        <w:pStyle w:val="Bullet"/>
      </w:pPr>
      <w:r>
        <w:t>Scheduled channels deployment during the next period, noting unusual activity, such as specialty markets, shopping centres or presentation to partner forums.</w:t>
      </w:r>
    </w:p>
    <w:p w14:paraId="4649F8DF" w14:textId="77777777" w:rsidR="000266D1" w:rsidRDefault="000266D1" w:rsidP="000266D1">
      <w:pPr>
        <w:pStyle w:val="Bullet"/>
      </w:pPr>
      <w:r>
        <w:t>Predicted progress on meeting milestones and performance indicators, including those for community engagement and government.</w:t>
      </w:r>
    </w:p>
    <w:p w14:paraId="1EDD66BE" w14:textId="01965DF9" w:rsidR="000266D1" w:rsidRDefault="000266D1" w:rsidP="000266D1">
      <w:pPr>
        <w:pStyle w:val="BulletLast"/>
      </w:pPr>
      <w:r>
        <w:t>Variations – updates and changes to material used for different channels.</w:t>
      </w:r>
    </w:p>
    <w:p w14:paraId="2EBB57CC" w14:textId="77777777" w:rsidR="000266D1" w:rsidRPr="00F961C9" w:rsidRDefault="000266D1" w:rsidP="000266D1">
      <w:pPr>
        <w:pStyle w:val="Heading4"/>
      </w:pPr>
      <w:r w:rsidRPr="00F961C9">
        <w:t>Legal</w:t>
      </w:r>
    </w:p>
    <w:p w14:paraId="6423FF9B" w14:textId="77777777" w:rsidR="000266D1" w:rsidRPr="00184479" w:rsidRDefault="000266D1" w:rsidP="000266D1">
      <w:pPr>
        <w:pStyle w:val="BulletLast"/>
      </w:pPr>
      <w:r>
        <w:t>Any pending legal matters that will be dealt with in the coming period.</w:t>
      </w:r>
    </w:p>
    <w:p w14:paraId="5411B69F" w14:textId="63BBC1F7" w:rsidR="000266D1" w:rsidRPr="00F961C9" w:rsidRDefault="000266D1" w:rsidP="000266D1">
      <w:pPr>
        <w:pStyle w:val="Heading4"/>
      </w:pPr>
      <w:r>
        <w:t>Compensation – owner reimbursement costs</w:t>
      </w:r>
    </w:p>
    <w:p w14:paraId="4697DF62" w14:textId="77777777" w:rsidR="000266D1" w:rsidRDefault="000266D1" w:rsidP="000266D1">
      <w:pPr>
        <w:pStyle w:val="BulletLast"/>
      </w:pPr>
      <w:r w:rsidRPr="00096943">
        <w:t>Activities associated with managing and processing claims</w:t>
      </w:r>
      <w:r>
        <w:t>.</w:t>
      </w:r>
    </w:p>
    <w:p w14:paraId="4B61827A" w14:textId="350D0E8A" w:rsidR="000266D1" w:rsidRPr="00F961C9" w:rsidRDefault="000266D1" w:rsidP="000266D1">
      <w:pPr>
        <w:pStyle w:val="Heading4"/>
      </w:pPr>
      <w:r w:rsidRPr="00F961C9">
        <w:t>Health</w:t>
      </w:r>
      <w:r>
        <w:t>,</w:t>
      </w:r>
      <w:r w:rsidRPr="00F961C9">
        <w:t xml:space="preserve"> safety and wellbeing </w:t>
      </w:r>
    </w:p>
    <w:p w14:paraId="76D74DEC" w14:textId="5954798B" w:rsidR="000266D1" w:rsidRDefault="000266D1" w:rsidP="000266D1">
      <w:pPr>
        <w:pStyle w:val="Bullet"/>
      </w:pPr>
      <w:r w:rsidRPr="00096943">
        <w:t xml:space="preserve">Specific actions </w:t>
      </w:r>
      <w:r>
        <w:t>(</w:t>
      </w:r>
      <w:r w:rsidRPr="00096943">
        <w:t>eg external audit</w:t>
      </w:r>
      <w:r>
        <w:t>)</w:t>
      </w:r>
      <w:r w:rsidRPr="00096943">
        <w:t xml:space="preserve"> in addition to pre-existing </w:t>
      </w:r>
      <w:r>
        <w:t xml:space="preserve">systems activities </w:t>
      </w:r>
      <w:r w:rsidRPr="00096943">
        <w:t>that will be deployed to ensure zero fatalities and injuries.</w:t>
      </w:r>
    </w:p>
    <w:p w14:paraId="3CD53B24" w14:textId="77777777" w:rsidR="000266D1" w:rsidRDefault="000266D1" w:rsidP="000266D1">
      <w:pPr>
        <w:pStyle w:val="BulletLast"/>
      </w:pPr>
      <w:r>
        <w:t>Update on any investigations or reports into near misses or injuries.</w:t>
      </w:r>
    </w:p>
    <w:p w14:paraId="5B4A96D7" w14:textId="18C7A9A2" w:rsidR="000266D1" w:rsidRPr="00AF5C26" w:rsidRDefault="000266D1" w:rsidP="000266D1">
      <w:pPr>
        <w:pStyle w:val="Heading4"/>
      </w:pPr>
      <w:r>
        <w:t>O</w:t>
      </w:r>
      <w:r w:rsidRPr="00AF5C26">
        <w:t>ther headline activit</w:t>
      </w:r>
      <w:r>
        <w:t>ies</w:t>
      </w:r>
    </w:p>
    <w:p w14:paraId="578989E0" w14:textId="008EECE9" w:rsidR="000266D1" w:rsidRDefault="000266D1" w:rsidP="000266D1">
      <w:pPr>
        <w:pStyle w:val="BulletLast"/>
      </w:pPr>
      <w:r w:rsidRPr="00853BAF">
        <w:t>What else will be occurring</w:t>
      </w:r>
      <w:r>
        <w:t xml:space="preserve"> or </w:t>
      </w:r>
      <w:r w:rsidRPr="00853BAF">
        <w:t xml:space="preserve">may occur that the reader should know about </w:t>
      </w:r>
      <w:r>
        <w:t>(</w:t>
      </w:r>
      <w:r w:rsidRPr="00853BAF">
        <w:t>eg</w:t>
      </w:r>
      <w:r>
        <w:t> </w:t>
      </w:r>
      <w:r w:rsidRPr="00853BAF">
        <w:t>commence planning for stand</w:t>
      </w:r>
      <w:r>
        <w:t>-</w:t>
      </w:r>
      <w:r w:rsidRPr="00853BAF">
        <w:t>down</w:t>
      </w:r>
      <w:r>
        <w:t>)</w:t>
      </w:r>
      <w:r w:rsidRPr="00853BAF">
        <w:t>?</w:t>
      </w:r>
    </w:p>
    <w:p w14:paraId="527B330F" w14:textId="77777777" w:rsidR="000266D1" w:rsidRPr="00B96AE9" w:rsidRDefault="000266D1" w:rsidP="000266D1">
      <w:pPr>
        <w:pStyle w:val="Heading3a"/>
      </w:pPr>
      <w:r w:rsidRPr="00B96AE9">
        <w:t>Issues</w:t>
      </w:r>
    </w:p>
    <w:p w14:paraId="5B62BABD" w14:textId="0FDCE680" w:rsidR="000266D1" w:rsidRPr="00853BAF" w:rsidRDefault="000266D1" w:rsidP="000266D1">
      <w:pPr>
        <w:pStyle w:val="BulletLast"/>
      </w:pPr>
      <w:r>
        <w:t xml:space="preserve">Are there matters that will or may need escalation and/or external support for decision or resolution? It is important that matters raised here are not a surprise to those with the authority to address the matter. It is about making the wider audience aware. </w:t>
      </w:r>
    </w:p>
    <w:p w14:paraId="75A2BAE6" w14:textId="58398331" w:rsidR="000266D1" w:rsidRPr="009D5E03" w:rsidRDefault="000266D1" w:rsidP="000266D1">
      <w:pPr>
        <w:tabs>
          <w:tab w:val="left" w:pos="1276"/>
        </w:tabs>
        <w:spacing w:after="80"/>
        <w:rPr>
          <w:rFonts w:cstheme="minorHAnsi"/>
          <w:b/>
          <w:iCs/>
          <w:lang w:val="en-GB"/>
        </w:rPr>
      </w:pPr>
      <w:r w:rsidRPr="009D5E03">
        <w:rPr>
          <w:rFonts w:cstheme="minorHAnsi"/>
          <w:b/>
          <w:iCs/>
          <w:lang w:val="en-GB"/>
        </w:rPr>
        <w:t xml:space="preserve">Developed </w:t>
      </w:r>
      <w:r>
        <w:rPr>
          <w:rFonts w:cstheme="minorHAnsi"/>
          <w:b/>
          <w:iCs/>
          <w:lang w:val="en-GB"/>
        </w:rPr>
        <w:t>(</w:t>
      </w:r>
      <w:r w:rsidRPr="009D5E03">
        <w:rPr>
          <w:rFonts w:cstheme="minorHAnsi"/>
          <w:b/>
          <w:iCs/>
          <w:lang w:val="en-GB"/>
        </w:rPr>
        <w:t>Planning Manager</w:t>
      </w:r>
      <w:r>
        <w:rPr>
          <w:rFonts w:cstheme="minorHAnsi"/>
          <w:b/>
          <w:iCs/>
          <w:lang w:val="en-GB"/>
        </w:rPr>
        <w:t>)</w:t>
      </w:r>
    </w:p>
    <w:p w14:paraId="7EE90C60" w14:textId="6AFBB217" w:rsidR="000266D1" w:rsidRPr="009D5E03" w:rsidRDefault="000266D1" w:rsidP="000266D1">
      <w:pPr>
        <w:tabs>
          <w:tab w:val="left" w:pos="1276"/>
        </w:tabs>
        <w:spacing w:after="80"/>
        <w:rPr>
          <w:rFonts w:cstheme="minorHAnsi"/>
          <w:b/>
          <w:iCs/>
          <w:lang w:val="en-GB"/>
        </w:rPr>
      </w:pPr>
      <w:r w:rsidRPr="009D5E03">
        <w:rPr>
          <w:rFonts w:cstheme="minorHAnsi"/>
          <w:b/>
          <w:iCs/>
          <w:lang w:val="en-GB"/>
        </w:rPr>
        <w:t xml:space="preserve">Approved </w:t>
      </w:r>
      <w:r>
        <w:rPr>
          <w:rFonts w:cstheme="minorHAnsi"/>
          <w:b/>
          <w:iCs/>
          <w:lang w:val="en-GB"/>
        </w:rPr>
        <w:t>(</w:t>
      </w:r>
      <w:r w:rsidRPr="009D5E03">
        <w:rPr>
          <w:rFonts w:cstheme="minorHAnsi"/>
          <w:b/>
          <w:iCs/>
          <w:lang w:val="en-GB"/>
        </w:rPr>
        <w:t>Coordinator</w:t>
      </w:r>
      <w:r>
        <w:rPr>
          <w:rFonts w:cstheme="minorHAnsi"/>
          <w:b/>
          <w:iCs/>
          <w:lang w:val="en-GB"/>
        </w:rPr>
        <w:t>)</w:t>
      </w:r>
    </w:p>
    <w:p w14:paraId="4D8CC49F" w14:textId="54EC06AE" w:rsidR="000266D1" w:rsidRPr="009D5E03" w:rsidRDefault="000266D1" w:rsidP="000266D1">
      <w:pPr>
        <w:tabs>
          <w:tab w:val="left" w:pos="1276"/>
        </w:tabs>
        <w:spacing w:after="80"/>
        <w:rPr>
          <w:rFonts w:cstheme="minorHAnsi"/>
          <w:b/>
          <w:iCs/>
          <w:lang w:val="en-GB"/>
        </w:rPr>
      </w:pPr>
      <w:r>
        <w:rPr>
          <w:rFonts w:cstheme="minorHAnsi"/>
          <w:b/>
          <w:iCs/>
          <w:lang w:val="en-GB"/>
        </w:rPr>
        <w:t>Date and time</w:t>
      </w:r>
    </w:p>
    <w:p w14:paraId="7BEF7046" w14:textId="29D190A5" w:rsidR="000266D1" w:rsidRDefault="000266D1" w:rsidP="000266D1">
      <w:pPr>
        <w:pStyle w:val="Heading1"/>
      </w:pPr>
      <w:bookmarkStart w:id="114" w:name="_Toc529783799"/>
      <w:bookmarkStart w:id="115" w:name="_Hlk508728327"/>
      <w:r>
        <w:t>Appendix 3</w:t>
      </w:r>
      <w:r>
        <w:tab/>
        <w:t>Selection of options – a</w:t>
      </w:r>
      <w:r w:rsidRPr="001C589B">
        <w:t xml:space="preserve">ppreciation </w:t>
      </w:r>
      <w:r>
        <w:t>flowchart</w:t>
      </w:r>
      <w:r w:rsidRPr="001C589B">
        <w:t xml:space="preserve"> and guidelines</w:t>
      </w:r>
      <w:r>
        <w:t xml:space="preserve"> for completion</w:t>
      </w:r>
      <w:bookmarkEnd w:id="114"/>
    </w:p>
    <w:bookmarkEnd w:id="115"/>
    <w:p w14:paraId="2BB32AC9" w14:textId="4A9204FA" w:rsidR="000266D1" w:rsidRPr="00FC6630" w:rsidRDefault="000266D1" w:rsidP="000266D1">
      <w:r w:rsidRPr="00777BD0">
        <w:t xml:space="preserve">An appreciation is used as a decision support tool. </w:t>
      </w:r>
      <w:r>
        <w:t>It</w:t>
      </w:r>
      <w:r w:rsidRPr="00777BD0">
        <w:t xml:space="preserve"> provides a structured</w:t>
      </w:r>
      <w:r>
        <w:t>,</w:t>
      </w:r>
      <w:r w:rsidRPr="00777BD0">
        <w:t xml:space="preserve"> systematic approach to selecting a strategy or tactic (course open or option) that will deliver </w:t>
      </w:r>
      <w:r>
        <w:t>the a</w:t>
      </w:r>
      <w:r w:rsidRPr="00777BD0">
        <w:t xml:space="preserve">im and </w:t>
      </w:r>
      <w:r>
        <w:t>o</w:t>
      </w:r>
      <w:r w:rsidRPr="00777BD0">
        <w:t xml:space="preserve">bjectives. The flowchart presents the pathway to be followed </w:t>
      </w:r>
      <w:r>
        <w:t>to</w:t>
      </w:r>
      <w:r w:rsidRPr="00777BD0">
        <w:t xml:space="preserve"> complet</w:t>
      </w:r>
      <w:r>
        <w:t>e</w:t>
      </w:r>
      <w:r w:rsidRPr="00777BD0">
        <w:t xml:space="preserve"> an </w:t>
      </w:r>
      <w:r w:rsidRPr="00067884">
        <w:t>appreciation (Figure</w:t>
      </w:r>
      <w:r>
        <w:t> A</w:t>
      </w:r>
      <w:r w:rsidR="00EA3F63">
        <w:t>3</w:t>
      </w:r>
      <w:r>
        <w:t>.1</w:t>
      </w:r>
      <w:r w:rsidRPr="00067884">
        <w:t>)</w:t>
      </w:r>
      <w:r w:rsidRPr="00FC6630">
        <w:t>.</w:t>
      </w:r>
    </w:p>
    <w:p w14:paraId="137D3684" w14:textId="4C227655" w:rsidR="000266D1" w:rsidRPr="00FC6630" w:rsidRDefault="000266D1" w:rsidP="000266D1">
      <w:pPr>
        <w:rPr>
          <w:bCs/>
          <w:color w:val="000000" w:themeColor="text1"/>
        </w:rPr>
      </w:pPr>
      <w:r w:rsidRPr="00FC6630">
        <w:rPr>
          <w:bCs/>
          <w:color w:val="000000" w:themeColor="text1"/>
        </w:rPr>
        <w:t xml:space="preserve">Context, aim and objectives must be described before working on </w:t>
      </w:r>
      <w:r>
        <w:rPr>
          <w:bCs/>
          <w:color w:val="000000" w:themeColor="text1"/>
        </w:rPr>
        <w:t>f</w:t>
      </w:r>
      <w:r w:rsidRPr="00FC6630">
        <w:rPr>
          <w:bCs/>
          <w:color w:val="000000" w:themeColor="text1"/>
        </w:rPr>
        <w:t>actors</w:t>
      </w:r>
      <w:r>
        <w:rPr>
          <w:bCs/>
          <w:color w:val="000000" w:themeColor="text1"/>
        </w:rPr>
        <w:t>,</w:t>
      </w:r>
      <w:r w:rsidRPr="00FC6630">
        <w:rPr>
          <w:bCs/>
          <w:color w:val="000000" w:themeColor="text1"/>
        </w:rPr>
        <w:t xml:space="preserve"> options or courses open</w:t>
      </w:r>
      <w:r>
        <w:rPr>
          <w:bCs/>
          <w:color w:val="000000" w:themeColor="text1"/>
        </w:rPr>
        <w:t>, and assessment of the options</w:t>
      </w:r>
      <w:r w:rsidRPr="00FC6630">
        <w:rPr>
          <w:bCs/>
          <w:color w:val="000000" w:themeColor="text1"/>
        </w:rPr>
        <w:t>.</w:t>
      </w:r>
    </w:p>
    <w:p w14:paraId="45A12318" w14:textId="73ED6A1F" w:rsidR="000266D1" w:rsidRDefault="000266D1" w:rsidP="000266D1">
      <w:pPr>
        <w:rPr>
          <w:color w:val="000000" w:themeColor="text1"/>
        </w:rPr>
      </w:pPr>
      <w:r>
        <w:rPr>
          <w:color w:val="000000" w:themeColor="text1"/>
        </w:rPr>
        <w:t xml:space="preserve">Factors are criteria that are likely to influence the delivery of a course open or option. Typical critical factors are resources available or resources not available, time available to start or time to complete the option, and cost. Factors are often also a risk covered in a risk assessment. </w:t>
      </w:r>
    </w:p>
    <w:p w14:paraId="51CC31F3" w14:textId="2A6B5F4B" w:rsidR="000266D1" w:rsidRDefault="000266D1" w:rsidP="000266D1">
      <w:pPr>
        <w:rPr>
          <w:color w:val="000000" w:themeColor="text1"/>
        </w:rPr>
      </w:pPr>
      <w:r>
        <w:rPr>
          <w:color w:val="000000" w:themeColor="text1"/>
        </w:rPr>
        <w:t>Each factor should be well described to ensure that the intent of the factor is understood. For example, what does a factor shown as weather mean? The factor intended might be that the weather during the period of the operations will be very hot and dry. This is very different from a factor that cyclones are likely during the operations period. Both are weather, but they have very different meanings and will interact differently with each course or option.</w:t>
      </w:r>
    </w:p>
    <w:p w14:paraId="21A51624" w14:textId="29438A44" w:rsidR="000266D1" w:rsidRDefault="000266D1" w:rsidP="000266D1">
      <w:r>
        <w:t xml:space="preserve">Courses open or options can include a ‘do nothing’ option. The option of ‘do nothing’ does not mean that no actions or tactics will be undertaken – that is, it does not mean that the response is immediately terminated with no tasks undertaken. The ‘do nothing’ option will need to be supported by a range of tactics and actions to deliver outputs and outcomes to address the manageable risks associated with this option. A significant manageable risk when considering the ‘do nothing’ option may be public outrage. Communication, education and awareness are actions that often support the ‘do nothing’ option. </w:t>
      </w:r>
    </w:p>
    <w:p w14:paraId="554F14E8" w14:textId="0195839A" w:rsidR="000266D1" w:rsidRPr="007317E4" w:rsidRDefault="000266D1" w:rsidP="000266D1">
      <w:r>
        <w:t>The process can be qualitative, as shown in Figure A</w:t>
      </w:r>
      <w:r w:rsidR="00EA3F63">
        <w:t>3</w:t>
      </w:r>
      <w:r>
        <w:t>.1,</w:t>
      </w:r>
      <w:r w:rsidRPr="007317E4">
        <w:t xml:space="preserve"> such as for strategy(s) or tactics</w:t>
      </w:r>
      <w:r w:rsidRPr="00FE1133">
        <w:t xml:space="preserve">. </w:t>
      </w:r>
      <w:r>
        <w:t>Alternatively, the process can be more quantitative, by using a table or spreadsheet, such as in Table A</w:t>
      </w:r>
      <w:r w:rsidR="00EA3F63">
        <w:t>3</w:t>
      </w:r>
      <w:r>
        <w:t xml:space="preserve">.1. </w:t>
      </w:r>
    </w:p>
    <w:p w14:paraId="55E1DA1A" w14:textId="41D958DB" w:rsidR="000266D1" w:rsidRDefault="000266D1" w:rsidP="000266D1">
      <w:r>
        <w:t>Once the preferred option is selected, it should be subject to a risk assessment. The risks associated with the selected option or course open will usually include factors.</w:t>
      </w:r>
    </w:p>
    <w:p w14:paraId="5478FEC5" w14:textId="160936D4" w:rsidR="000266D1" w:rsidRDefault="000266D1" w:rsidP="000266D1">
      <w:r>
        <w:t xml:space="preserve">It is important that all options are considered as part of the process. One or more options may include a combination of other options (ie one option may include a combination of tactics or tasks). </w:t>
      </w:r>
    </w:p>
    <w:p w14:paraId="40D2B7EA" w14:textId="7BE546C4" w:rsidR="000266D1" w:rsidRDefault="000266D1" w:rsidP="000266D1">
      <w:r>
        <w:t xml:space="preserve">In some contexts, the preferred option may not be cost shareable (eg breeding to retain genetic diversity). </w:t>
      </w:r>
    </w:p>
    <w:p w14:paraId="6EE65882" w14:textId="77777777" w:rsidR="000266D1" w:rsidRDefault="000266D1" w:rsidP="000266D1">
      <w:pPr>
        <w:spacing w:after="0" w:line="276" w:lineRule="auto"/>
        <w:jc w:val="both"/>
        <w:rPr>
          <w:color w:val="000000" w:themeColor="text1"/>
        </w:rPr>
      </w:pPr>
      <w:r>
        <w:rPr>
          <w:color w:val="000000" w:themeColor="text1"/>
        </w:rPr>
        <w:t xml:space="preserve"> </w:t>
      </w:r>
    </w:p>
    <w:p w14:paraId="4132042D" w14:textId="77777777" w:rsidR="000266D1" w:rsidRPr="00663736" w:rsidRDefault="000266D1" w:rsidP="000266D1">
      <w:pPr>
        <w:spacing w:after="0" w:line="276" w:lineRule="auto"/>
        <w:jc w:val="both"/>
        <w:rPr>
          <w:color w:val="000000" w:themeColor="text1"/>
        </w:rPr>
      </w:pPr>
    </w:p>
    <w:p w14:paraId="36D7158E" w14:textId="77777777" w:rsidR="000266D1" w:rsidRDefault="000266D1" w:rsidP="000266D1">
      <w:pPr>
        <w:rPr>
          <w:b/>
          <w:color w:val="000000" w:themeColor="text1"/>
        </w:rPr>
      </w:pPr>
    </w:p>
    <w:p w14:paraId="7462AEF1" w14:textId="23930EE4" w:rsidR="000266D1" w:rsidRDefault="003B3464" w:rsidP="000266D1">
      <w:pPr>
        <w:rPr>
          <w:b/>
          <w:color w:val="000000" w:themeColor="text1"/>
        </w:rPr>
      </w:pPr>
      <w:r>
        <w:rPr>
          <w:b/>
          <w:noProof/>
          <w:color w:val="000000" w:themeColor="text1"/>
        </w:rPr>
        <w:drawing>
          <wp:inline distT="0" distB="0" distL="0" distR="0" wp14:anchorId="5BAEF4C1" wp14:editId="5E686F75">
            <wp:extent cx="4134427" cy="704948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ILDRESPONSE-Figure A3.1(23Oct18).PNG"/>
                    <pic:cNvPicPr/>
                  </pic:nvPicPr>
                  <pic:blipFill>
                    <a:blip r:embed="rId21">
                      <a:extLst>
                        <a:ext uri="{28A0092B-C50C-407E-A947-70E740481C1C}">
                          <a14:useLocalDpi xmlns:a14="http://schemas.microsoft.com/office/drawing/2010/main" val="0"/>
                        </a:ext>
                      </a:extLst>
                    </a:blip>
                    <a:stretch>
                      <a:fillRect/>
                    </a:stretch>
                  </pic:blipFill>
                  <pic:spPr>
                    <a:xfrm>
                      <a:off x="0" y="0"/>
                      <a:ext cx="4134427" cy="7049484"/>
                    </a:xfrm>
                    <a:prstGeom prst="rect">
                      <a:avLst/>
                    </a:prstGeom>
                  </pic:spPr>
                </pic:pic>
              </a:graphicData>
            </a:graphic>
          </wp:inline>
        </w:drawing>
      </w:r>
    </w:p>
    <w:p w14:paraId="51B921E2" w14:textId="6AF5A7BC" w:rsidR="000266D1" w:rsidRDefault="000266D1" w:rsidP="000266D1">
      <w:pPr>
        <w:pStyle w:val="FigureName"/>
      </w:pPr>
      <w:bookmarkStart w:id="116" w:name="_Toc527712265"/>
      <w:bookmarkStart w:id="117" w:name="_Hlk508717278"/>
      <w:r w:rsidRPr="004A379B">
        <w:t xml:space="preserve">Figure </w:t>
      </w:r>
      <w:r>
        <w:t>A</w:t>
      </w:r>
      <w:r w:rsidR="00EA3F63">
        <w:t>3</w:t>
      </w:r>
      <w:r>
        <w:t>.1</w:t>
      </w:r>
      <w:r>
        <w:tab/>
      </w:r>
      <w:r w:rsidRPr="00E77DC4">
        <w:t xml:space="preserve">Appreciation </w:t>
      </w:r>
      <w:r>
        <w:t>f</w:t>
      </w:r>
      <w:r w:rsidRPr="00E77DC4">
        <w:t>low</w:t>
      </w:r>
      <w:r>
        <w:t>c</w:t>
      </w:r>
      <w:r w:rsidRPr="00E77DC4">
        <w:t>hart to support selection of a preferred option</w:t>
      </w:r>
      <w:r>
        <w:t>,</w:t>
      </w:r>
      <w:r w:rsidRPr="00E77DC4">
        <w:t xml:space="preserve"> such as for strategy(s) or tactics</w:t>
      </w:r>
      <w:bookmarkEnd w:id="116"/>
    </w:p>
    <w:p w14:paraId="4655BB02" w14:textId="7F4D4747" w:rsidR="000266D1" w:rsidRDefault="000266D1" w:rsidP="000266D1">
      <w:pPr>
        <w:pStyle w:val="TableName"/>
        <w:rPr>
          <w:color w:val="000000" w:themeColor="text1"/>
          <w:szCs w:val="24"/>
        </w:rPr>
      </w:pPr>
      <w:bookmarkStart w:id="118" w:name="_Toc527712884"/>
      <w:bookmarkEnd w:id="117"/>
      <w:r w:rsidRPr="00B0208C">
        <w:t xml:space="preserve">Table </w:t>
      </w:r>
      <w:r>
        <w:t>A</w:t>
      </w:r>
      <w:r w:rsidR="00EA3F63">
        <w:t>3</w:t>
      </w:r>
      <w:r>
        <w:t>.1</w:t>
      </w:r>
      <w:r>
        <w:tab/>
      </w:r>
      <w:r w:rsidRPr="00520A2D">
        <w:t xml:space="preserve">Appreciation </w:t>
      </w:r>
      <w:r>
        <w:t>t</w:t>
      </w:r>
      <w:r w:rsidRPr="00520A2D">
        <w:t>able to support decision making</w:t>
      </w:r>
      <w:r>
        <w:t xml:space="preserve"> for option selection</w:t>
      </w:r>
      <w:bookmarkEnd w:id="118"/>
    </w:p>
    <w:tbl>
      <w:tblPr>
        <w:tblW w:w="9000" w:type="dxa"/>
        <w:tblInd w:w="-5" w:type="dxa"/>
        <w:tblLayout w:type="fixed"/>
        <w:tblLook w:val="01E0" w:firstRow="1" w:lastRow="1" w:firstColumn="1" w:lastColumn="1" w:noHBand="0" w:noVBand="0"/>
      </w:tblPr>
      <w:tblGrid>
        <w:gridCol w:w="1530"/>
        <w:gridCol w:w="450"/>
        <w:gridCol w:w="827"/>
        <w:gridCol w:w="703"/>
        <w:gridCol w:w="630"/>
        <w:gridCol w:w="540"/>
        <w:gridCol w:w="540"/>
        <w:gridCol w:w="540"/>
        <w:gridCol w:w="630"/>
        <w:gridCol w:w="630"/>
        <w:gridCol w:w="630"/>
        <w:gridCol w:w="630"/>
        <w:gridCol w:w="720"/>
      </w:tblGrid>
      <w:tr w:rsidR="000266D1" w14:paraId="1A41BA2F" w14:textId="77777777" w:rsidTr="000266D1">
        <w:trPr>
          <w:cantSplit/>
        </w:trPr>
        <w:tc>
          <w:tcPr>
            <w:tcW w:w="1530" w:type="dxa"/>
            <w:tcBorders>
              <w:top w:val="single" w:sz="4" w:space="0" w:color="auto"/>
              <w:bottom w:val="single" w:sz="4" w:space="0" w:color="auto"/>
            </w:tcBorders>
            <w:shd w:val="clear" w:color="auto" w:fill="auto"/>
          </w:tcPr>
          <w:p w14:paraId="61F428BF" w14:textId="77777777" w:rsidR="000266D1" w:rsidRPr="00797423" w:rsidRDefault="000266D1" w:rsidP="000266D1">
            <w:pPr>
              <w:pStyle w:val="TableHeading"/>
            </w:pPr>
            <w:r w:rsidRPr="00EE7FB6">
              <w:t xml:space="preserve">Options </w:t>
            </w:r>
          </w:p>
        </w:tc>
        <w:tc>
          <w:tcPr>
            <w:tcW w:w="6750" w:type="dxa"/>
            <w:gridSpan w:val="11"/>
            <w:tcBorders>
              <w:top w:val="single" w:sz="4" w:space="0" w:color="auto"/>
              <w:bottom w:val="single" w:sz="4" w:space="0" w:color="auto"/>
            </w:tcBorders>
            <w:shd w:val="clear" w:color="auto" w:fill="auto"/>
          </w:tcPr>
          <w:p w14:paraId="4F9E236A" w14:textId="7AF1A3DA" w:rsidR="000266D1" w:rsidRPr="0020039D" w:rsidRDefault="000266D1" w:rsidP="000266D1">
            <w:pPr>
              <w:pStyle w:val="TableHeading"/>
              <w:jc w:val="center"/>
              <w:rPr>
                <w:sz w:val="18"/>
                <w:szCs w:val="18"/>
              </w:rPr>
            </w:pPr>
            <w:r w:rsidRPr="00994B0D">
              <w:t>Factor</w:t>
            </w:r>
            <w:r>
              <w:t xml:space="preserve"> rating</w:t>
            </w:r>
          </w:p>
        </w:tc>
        <w:tc>
          <w:tcPr>
            <w:tcW w:w="720" w:type="dxa"/>
            <w:tcBorders>
              <w:top w:val="single" w:sz="4" w:space="0" w:color="auto"/>
              <w:bottom w:val="single" w:sz="4" w:space="0" w:color="auto"/>
            </w:tcBorders>
            <w:shd w:val="clear" w:color="auto" w:fill="auto"/>
          </w:tcPr>
          <w:p w14:paraId="00C17F6A" w14:textId="77777777" w:rsidR="000266D1" w:rsidRPr="00797423" w:rsidRDefault="000266D1" w:rsidP="000266D1">
            <w:pPr>
              <w:pStyle w:val="TableHeading"/>
              <w:rPr>
                <w:sz w:val="28"/>
                <w:szCs w:val="28"/>
              </w:rPr>
            </w:pPr>
          </w:p>
        </w:tc>
      </w:tr>
      <w:tr w:rsidR="000266D1" w14:paraId="6A67BCCC" w14:textId="77777777" w:rsidTr="000266D1">
        <w:trPr>
          <w:cantSplit/>
          <w:trHeight w:val="3927"/>
        </w:trPr>
        <w:tc>
          <w:tcPr>
            <w:tcW w:w="1530" w:type="dxa"/>
            <w:tcBorders>
              <w:top w:val="single" w:sz="4" w:space="0" w:color="auto"/>
              <w:bottom w:val="single" w:sz="4" w:space="0" w:color="auto"/>
            </w:tcBorders>
            <w:shd w:val="clear" w:color="auto" w:fill="auto"/>
          </w:tcPr>
          <w:p w14:paraId="79DA2691" w14:textId="77777777" w:rsidR="000266D1" w:rsidRPr="00797423" w:rsidRDefault="000266D1" w:rsidP="000266D1">
            <w:pPr>
              <w:pStyle w:val="TableText0"/>
            </w:pPr>
          </w:p>
        </w:tc>
        <w:tc>
          <w:tcPr>
            <w:tcW w:w="450" w:type="dxa"/>
            <w:tcBorders>
              <w:top w:val="single" w:sz="4" w:space="0" w:color="auto"/>
              <w:bottom w:val="single" w:sz="4" w:space="0" w:color="auto"/>
            </w:tcBorders>
            <w:shd w:val="clear" w:color="auto" w:fill="auto"/>
            <w:textDirection w:val="btLr"/>
          </w:tcPr>
          <w:p w14:paraId="410676AC" w14:textId="1F5D5DD8" w:rsidR="000266D1" w:rsidRPr="00797423" w:rsidRDefault="000266D1" w:rsidP="000266D1">
            <w:pPr>
              <w:pStyle w:val="TableText0"/>
            </w:pPr>
            <w:r w:rsidRPr="00797423">
              <w:t>Resources needed</w:t>
            </w:r>
            <w:r>
              <w:t>, type, number (</w:t>
            </w:r>
            <w:r w:rsidRPr="0020039D">
              <w:rPr>
                <w:b/>
                <w:sz w:val="18"/>
                <w:szCs w:val="18"/>
              </w:rPr>
              <w:t>W = 3</w:t>
            </w:r>
            <w:r>
              <w:rPr>
                <w:b/>
                <w:sz w:val="18"/>
                <w:szCs w:val="18"/>
              </w:rPr>
              <w:t>)</w:t>
            </w:r>
          </w:p>
        </w:tc>
        <w:tc>
          <w:tcPr>
            <w:tcW w:w="827" w:type="dxa"/>
            <w:tcBorders>
              <w:top w:val="single" w:sz="4" w:space="0" w:color="auto"/>
              <w:bottom w:val="single" w:sz="4" w:space="0" w:color="auto"/>
            </w:tcBorders>
            <w:shd w:val="clear" w:color="auto" w:fill="auto"/>
            <w:textDirection w:val="btLr"/>
          </w:tcPr>
          <w:p w14:paraId="300370D6" w14:textId="5BE5F83D" w:rsidR="000266D1" w:rsidRPr="00797423" w:rsidRDefault="000266D1" w:rsidP="000266D1">
            <w:pPr>
              <w:pStyle w:val="TableText0"/>
            </w:pPr>
            <w:r w:rsidRPr="00797423">
              <w:t>Resources available</w:t>
            </w:r>
            <w:r>
              <w:t>, type, number (</w:t>
            </w:r>
            <w:r w:rsidRPr="0020039D">
              <w:rPr>
                <w:b/>
                <w:sz w:val="18"/>
                <w:szCs w:val="18"/>
              </w:rPr>
              <w:t>W = 3</w:t>
            </w:r>
            <w:r>
              <w:rPr>
                <w:b/>
                <w:sz w:val="18"/>
                <w:szCs w:val="18"/>
              </w:rPr>
              <w:t>)</w:t>
            </w:r>
          </w:p>
        </w:tc>
        <w:tc>
          <w:tcPr>
            <w:tcW w:w="703" w:type="dxa"/>
            <w:tcBorders>
              <w:top w:val="single" w:sz="4" w:space="0" w:color="auto"/>
              <w:bottom w:val="single" w:sz="4" w:space="0" w:color="auto"/>
            </w:tcBorders>
            <w:shd w:val="clear" w:color="auto" w:fill="auto"/>
            <w:textDirection w:val="btLr"/>
          </w:tcPr>
          <w:p w14:paraId="0F0C9F1B" w14:textId="20713506" w:rsidR="000266D1" w:rsidRPr="00797423" w:rsidRDefault="000266D1" w:rsidP="000266D1">
            <w:pPr>
              <w:pStyle w:val="TableText0"/>
            </w:pPr>
            <w:r w:rsidRPr="00797423">
              <w:t>Time available</w:t>
            </w:r>
            <w:r>
              <w:t xml:space="preserve"> (</w:t>
            </w:r>
            <w:r w:rsidRPr="0020039D">
              <w:rPr>
                <w:b/>
                <w:sz w:val="18"/>
                <w:szCs w:val="18"/>
              </w:rPr>
              <w:t>W = 1</w:t>
            </w:r>
            <w:r>
              <w:rPr>
                <w:b/>
                <w:sz w:val="18"/>
                <w:szCs w:val="18"/>
              </w:rPr>
              <w:t>)</w:t>
            </w:r>
          </w:p>
        </w:tc>
        <w:tc>
          <w:tcPr>
            <w:tcW w:w="630" w:type="dxa"/>
            <w:tcBorders>
              <w:top w:val="single" w:sz="4" w:space="0" w:color="auto"/>
              <w:bottom w:val="single" w:sz="4" w:space="0" w:color="auto"/>
            </w:tcBorders>
            <w:shd w:val="clear" w:color="auto" w:fill="auto"/>
            <w:textDirection w:val="btLr"/>
          </w:tcPr>
          <w:p w14:paraId="72408EB8" w14:textId="320BDA22" w:rsidR="000266D1" w:rsidRPr="00797423" w:rsidRDefault="000266D1" w:rsidP="000266D1">
            <w:pPr>
              <w:pStyle w:val="TableText0"/>
            </w:pPr>
            <w:r>
              <w:t>Accessibility of host population (</w:t>
            </w:r>
            <w:r w:rsidRPr="0020039D">
              <w:rPr>
                <w:b/>
                <w:sz w:val="18"/>
                <w:szCs w:val="18"/>
              </w:rPr>
              <w:t>W = 2</w:t>
            </w:r>
            <w:r>
              <w:rPr>
                <w:b/>
                <w:sz w:val="18"/>
                <w:szCs w:val="18"/>
              </w:rPr>
              <w:t>)</w:t>
            </w:r>
          </w:p>
        </w:tc>
        <w:tc>
          <w:tcPr>
            <w:tcW w:w="540" w:type="dxa"/>
            <w:tcBorders>
              <w:top w:val="single" w:sz="4" w:space="0" w:color="auto"/>
              <w:bottom w:val="single" w:sz="4" w:space="0" w:color="auto"/>
            </w:tcBorders>
            <w:shd w:val="clear" w:color="auto" w:fill="auto"/>
            <w:textDirection w:val="btLr"/>
          </w:tcPr>
          <w:p w14:paraId="31B026B9" w14:textId="48FC5D8C" w:rsidR="000266D1" w:rsidRPr="00994B0D" w:rsidRDefault="000266D1" w:rsidP="000266D1">
            <w:pPr>
              <w:pStyle w:val="TableText0"/>
              <w:rPr>
                <w:b/>
              </w:rPr>
            </w:pPr>
            <w:r w:rsidRPr="00797423">
              <w:t>Time required to complete</w:t>
            </w:r>
            <w:r w:rsidRPr="00797423">
              <w:rPr>
                <w:b/>
              </w:rPr>
              <w:t xml:space="preserve"> </w:t>
            </w:r>
            <w:r>
              <w:rPr>
                <w:b/>
              </w:rPr>
              <w:t xml:space="preserve"> (</w:t>
            </w:r>
            <w:r w:rsidRPr="0020039D">
              <w:rPr>
                <w:b/>
                <w:sz w:val="18"/>
                <w:szCs w:val="18"/>
              </w:rPr>
              <w:t xml:space="preserve">W = 3 </w:t>
            </w:r>
            <w:r>
              <w:rPr>
                <w:b/>
                <w:sz w:val="18"/>
                <w:szCs w:val="18"/>
              </w:rPr>
              <w:t>)</w:t>
            </w:r>
          </w:p>
        </w:tc>
        <w:tc>
          <w:tcPr>
            <w:tcW w:w="540" w:type="dxa"/>
            <w:tcBorders>
              <w:top w:val="single" w:sz="4" w:space="0" w:color="auto"/>
              <w:bottom w:val="single" w:sz="4" w:space="0" w:color="auto"/>
            </w:tcBorders>
            <w:shd w:val="clear" w:color="auto" w:fill="auto"/>
            <w:textDirection w:val="btLr"/>
          </w:tcPr>
          <w:p w14:paraId="4DCA670A" w14:textId="324CEE31" w:rsidR="000266D1" w:rsidRPr="0020039D" w:rsidRDefault="000266D1" w:rsidP="000266D1">
            <w:pPr>
              <w:pStyle w:val="TableText0"/>
              <w:rPr>
                <w:b/>
                <w:sz w:val="18"/>
                <w:szCs w:val="18"/>
              </w:rPr>
            </w:pPr>
            <w:r>
              <w:t>Partner/community support (</w:t>
            </w:r>
            <w:r w:rsidRPr="0020039D">
              <w:rPr>
                <w:b/>
                <w:sz w:val="18"/>
                <w:szCs w:val="18"/>
              </w:rPr>
              <w:t>W = 1</w:t>
            </w:r>
            <w:r>
              <w:rPr>
                <w:b/>
                <w:sz w:val="18"/>
                <w:szCs w:val="18"/>
              </w:rPr>
              <w:t>)</w:t>
            </w:r>
          </w:p>
          <w:p w14:paraId="68DFD0AF" w14:textId="77777777" w:rsidR="000266D1" w:rsidRPr="00797423" w:rsidRDefault="000266D1" w:rsidP="000266D1">
            <w:pPr>
              <w:pStyle w:val="TableText0"/>
            </w:pPr>
          </w:p>
        </w:tc>
        <w:tc>
          <w:tcPr>
            <w:tcW w:w="540" w:type="dxa"/>
            <w:tcBorders>
              <w:top w:val="single" w:sz="4" w:space="0" w:color="auto"/>
              <w:bottom w:val="single" w:sz="4" w:space="0" w:color="auto"/>
            </w:tcBorders>
            <w:shd w:val="clear" w:color="auto" w:fill="auto"/>
            <w:textDirection w:val="btLr"/>
          </w:tcPr>
          <w:p w14:paraId="6D55B28C" w14:textId="4BF81A98" w:rsidR="000266D1" w:rsidRPr="00797423" w:rsidRDefault="000266D1" w:rsidP="000266D1">
            <w:pPr>
              <w:pStyle w:val="TableText0"/>
            </w:pPr>
            <w:r w:rsidRPr="00797423">
              <w:t>Weather</w:t>
            </w:r>
            <w:r>
              <w:t xml:space="preserve"> – current, future (</w:t>
            </w:r>
            <w:r w:rsidRPr="0020039D">
              <w:rPr>
                <w:b/>
                <w:sz w:val="18"/>
                <w:szCs w:val="18"/>
              </w:rPr>
              <w:t>W = 2</w:t>
            </w:r>
            <w:r>
              <w:rPr>
                <w:b/>
                <w:sz w:val="18"/>
                <w:szCs w:val="18"/>
              </w:rPr>
              <w:t>)</w:t>
            </w:r>
          </w:p>
        </w:tc>
        <w:tc>
          <w:tcPr>
            <w:tcW w:w="630" w:type="dxa"/>
            <w:tcBorders>
              <w:top w:val="single" w:sz="4" w:space="0" w:color="auto"/>
              <w:bottom w:val="single" w:sz="4" w:space="0" w:color="auto"/>
            </w:tcBorders>
            <w:shd w:val="clear" w:color="auto" w:fill="auto"/>
            <w:textDirection w:val="btLr"/>
          </w:tcPr>
          <w:p w14:paraId="0BAF910F" w14:textId="7B3D9194" w:rsidR="000266D1" w:rsidRPr="003C3058" w:rsidRDefault="000266D1" w:rsidP="000266D1">
            <w:pPr>
              <w:pStyle w:val="TableText0"/>
            </w:pPr>
            <w:r>
              <w:t>Political support a</w:t>
            </w:r>
            <w:r w:rsidRPr="00797423">
              <w:t>cces</w:t>
            </w:r>
            <w:r>
              <w:t>s (</w:t>
            </w:r>
            <w:r w:rsidRPr="0020039D">
              <w:rPr>
                <w:b/>
                <w:sz w:val="18"/>
                <w:szCs w:val="18"/>
              </w:rPr>
              <w:t>W = 1</w:t>
            </w:r>
            <w:r>
              <w:rPr>
                <w:b/>
                <w:sz w:val="18"/>
                <w:szCs w:val="18"/>
              </w:rPr>
              <w:t>)</w:t>
            </w:r>
          </w:p>
        </w:tc>
        <w:tc>
          <w:tcPr>
            <w:tcW w:w="630" w:type="dxa"/>
            <w:tcBorders>
              <w:top w:val="single" w:sz="4" w:space="0" w:color="auto"/>
              <w:bottom w:val="single" w:sz="4" w:space="0" w:color="auto"/>
            </w:tcBorders>
            <w:shd w:val="clear" w:color="auto" w:fill="auto"/>
            <w:textDirection w:val="btLr"/>
          </w:tcPr>
          <w:p w14:paraId="695CAB03" w14:textId="0406DA13" w:rsidR="000266D1" w:rsidRPr="00797423" w:rsidRDefault="000266D1" w:rsidP="000266D1">
            <w:pPr>
              <w:pStyle w:val="TableText0"/>
            </w:pPr>
            <w:r>
              <w:t>Availability of testing method (</w:t>
            </w:r>
            <w:r w:rsidRPr="0020039D">
              <w:rPr>
                <w:b/>
                <w:sz w:val="18"/>
                <w:szCs w:val="18"/>
              </w:rPr>
              <w:t>W = 1</w:t>
            </w:r>
            <w:r>
              <w:rPr>
                <w:b/>
                <w:sz w:val="18"/>
                <w:szCs w:val="18"/>
              </w:rPr>
              <w:t>)</w:t>
            </w:r>
          </w:p>
        </w:tc>
        <w:tc>
          <w:tcPr>
            <w:tcW w:w="630" w:type="dxa"/>
            <w:tcBorders>
              <w:top w:val="single" w:sz="4" w:space="0" w:color="auto"/>
              <w:bottom w:val="single" w:sz="4" w:space="0" w:color="auto"/>
            </w:tcBorders>
            <w:shd w:val="clear" w:color="auto" w:fill="auto"/>
            <w:textDirection w:val="btLr"/>
          </w:tcPr>
          <w:p w14:paraId="231985A2" w14:textId="267BE9E7" w:rsidR="000266D1" w:rsidRPr="00797423" w:rsidRDefault="000266D1" w:rsidP="000266D1">
            <w:pPr>
              <w:pStyle w:val="TableText0"/>
            </w:pPr>
            <w:r w:rsidRPr="00797423">
              <w:t xml:space="preserve">Impact on community </w:t>
            </w:r>
            <w:r>
              <w:t>(</w:t>
            </w:r>
            <w:r w:rsidRPr="00797423">
              <w:t>eg transport</w:t>
            </w:r>
            <w:r>
              <w:t>) (</w:t>
            </w:r>
            <w:r w:rsidRPr="0020039D">
              <w:rPr>
                <w:b/>
                <w:sz w:val="18"/>
                <w:szCs w:val="18"/>
              </w:rPr>
              <w:t>W = 2</w:t>
            </w:r>
            <w:r>
              <w:rPr>
                <w:b/>
                <w:sz w:val="18"/>
                <w:szCs w:val="18"/>
              </w:rPr>
              <w:t>)</w:t>
            </w:r>
          </w:p>
        </w:tc>
        <w:tc>
          <w:tcPr>
            <w:tcW w:w="630" w:type="dxa"/>
            <w:tcBorders>
              <w:top w:val="single" w:sz="4" w:space="0" w:color="auto"/>
              <w:bottom w:val="single" w:sz="4" w:space="0" w:color="auto"/>
            </w:tcBorders>
            <w:shd w:val="clear" w:color="auto" w:fill="auto"/>
            <w:textDirection w:val="btLr"/>
          </w:tcPr>
          <w:p w14:paraId="25284EC7" w14:textId="0EE88118" w:rsidR="000266D1" w:rsidRPr="00797423" w:rsidRDefault="000266D1" w:rsidP="000266D1">
            <w:pPr>
              <w:pStyle w:val="TableText0"/>
            </w:pPr>
            <w:r w:rsidRPr="00797423">
              <w:t>Cost</w:t>
            </w:r>
            <w:r>
              <w:t xml:space="preserve"> (</w:t>
            </w:r>
            <w:r w:rsidRPr="0020039D">
              <w:rPr>
                <w:b/>
                <w:sz w:val="18"/>
                <w:szCs w:val="18"/>
              </w:rPr>
              <w:t>W = 1</w:t>
            </w:r>
            <w:r>
              <w:rPr>
                <w:b/>
                <w:sz w:val="18"/>
                <w:szCs w:val="18"/>
              </w:rPr>
              <w:t>)</w:t>
            </w:r>
          </w:p>
        </w:tc>
        <w:tc>
          <w:tcPr>
            <w:tcW w:w="720" w:type="dxa"/>
            <w:tcBorders>
              <w:top w:val="single" w:sz="4" w:space="0" w:color="auto"/>
              <w:bottom w:val="single" w:sz="4" w:space="0" w:color="auto"/>
            </w:tcBorders>
            <w:shd w:val="clear" w:color="auto" w:fill="auto"/>
            <w:textDirection w:val="btLr"/>
          </w:tcPr>
          <w:p w14:paraId="1662E13E" w14:textId="08AD2B99" w:rsidR="000266D1" w:rsidRPr="00797423" w:rsidRDefault="000266D1" w:rsidP="000266D1">
            <w:pPr>
              <w:pStyle w:val="TableText0"/>
            </w:pPr>
            <w:r w:rsidRPr="00797423">
              <w:t>Total</w:t>
            </w:r>
            <w:r>
              <w:t xml:space="preserve"> for each option</w:t>
            </w:r>
          </w:p>
        </w:tc>
      </w:tr>
      <w:tr w:rsidR="000266D1" w:rsidRPr="00797423" w14:paraId="205F958D" w14:textId="77777777" w:rsidTr="000266D1">
        <w:trPr>
          <w:trHeight w:val="198"/>
        </w:trPr>
        <w:tc>
          <w:tcPr>
            <w:tcW w:w="1530" w:type="dxa"/>
            <w:vMerge w:val="restart"/>
            <w:tcBorders>
              <w:top w:val="single" w:sz="4" w:space="0" w:color="auto"/>
            </w:tcBorders>
            <w:shd w:val="clear" w:color="auto" w:fill="auto"/>
          </w:tcPr>
          <w:p w14:paraId="51EF4D40" w14:textId="77777777" w:rsidR="000266D1" w:rsidRPr="00797423" w:rsidRDefault="000266D1" w:rsidP="000266D1">
            <w:pPr>
              <w:pStyle w:val="TableText0"/>
            </w:pPr>
            <w:r>
              <w:t>Option 1</w:t>
            </w:r>
          </w:p>
        </w:tc>
        <w:tc>
          <w:tcPr>
            <w:tcW w:w="450" w:type="dxa"/>
            <w:tcBorders>
              <w:top w:val="single" w:sz="4" w:space="0" w:color="auto"/>
            </w:tcBorders>
            <w:shd w:val="clear" w:color="auto" w:fill="auto"/>
          </w:tcPr>
          <w:p w14:paraId="64736777" w14:textId="77777777" w:rsidR="000266D1" w:rsidRPr="00797423" w:rsidRDefault="000266D1" w:rsidP="000266D1">
            <w:pPr>
              <w:pStyle w:val="TableText0"/>
            </w:pPr>
          </w:p>
        </w:tc>
        <w:tc>
          <w:tcPr>
            <w:tcW w:w="827" w:type="dxa"/>
            <w:tcBorders>
              <w:top w:val="single" w:sz="4" w:space="0" w:color="auto"/>
            </w:tcBorders>
            <w:shd w:val="clear" w:color="auto" w:fill="auto"/>
            <w:vAlign w:val="center"/>
          </w:tcPr>
          <w:p w14:paraId="3A552A8E" w14:textId="77777777" w:rsidR="000266D1" w:rsidRPr="000F1044" w:rsidRDefault="000266D1" w:rsidP="000266D1">
            <w:pPr>
              <w:pStyle w:val="TableText0"/>
              <w:rPr>
                <w:b/>
              </w:rPr>
            </w:pPr>
            <w:r w:rsidRPr="00994B0D">
              <w:rPr>
                <w:b/>
              </w:rPr>
              <w:t>R</w:t>
            </w:r>
            <w:r w:rsidRPr="000F1044">
              <w:rPr>
                <w:b/>
              </w:rPr>
              <w:t xml:space="preserve"> = 1</w:t>
            </w:r>
          </w:p>
        </w:tc>
        <w:tc>
          <w:tcPr>
            <w:tcW w:w="703" w:type="dxa"/>
            <w:tcBorders>
              <w:top w:val="single" w:sz="4" w:space="0" w:color="auto"/>
            </w:tcBorders>
            <w:shd w:val="clear" w:color="auto" w:fill="auto"/>
          </w:tcPr>
          <w:p w14:paraId="704E59C2" w14:textId="77777777" w:rsidR="000266D1" w:rsidRPr="00797423" w:rsidRDefault="000266D1" w:rsidP="000266D1">
            <w:pPr>
              <w:pStyle w:val="TableText0"/>
            </w:pPr>
          </w:p>
        </w:tc>
        <w:tc>
          <w:tcPr>
            <w:tcW w:w="630" w:type="dxa"/>
            <w:tcBorders>
              <w:top w:val="single" w:sz="4" w:space="0" w:color="auto"/>
            </w:tcBorders>
            <w:shd w:val="clear" w:color="auto" w:fill="auto"/>
          </w:tcPr>
          <w:p w14:paraId="08D64EF5" w14:textId="77777777" w:rsidR="000266D1" w:rsidRPr="00797423" w:rsidRDefault="000266D1" w:rsidP="000266D1">
            <w:pPr>
              <w:pStyle w:val="TableText0"/>
            </w:pPr>
          </w:p>
        </w:tc>
        <w:tc>
          <w:tcPr>
            <w:tcW w:w="540" w:type="dxa"/>
            <w:tcBorders>
              <w:top w:val="single" w:sz="4" w:space="0" w:color="auto"/>
            </w:tcBorders>
            <w:shd w:val="clear" w:color="auto" w:fill="auto"/>
          </w:tcPr>
          <w:p w14:paraId="209FBAA3" w14:textId="77777777" w:rsidR="000266D1" w:rsidRPr="00797423" w:rsidRDefault="000266D1" w:rsidP="000266D1">
            <w:pPr>
              <w:pStyle w:val="TableText0"/>
            </w:pPr>
          </w:p>
        </w:tc>
        <w:tc>
          <w:tcPr>
            <w:tcW w:w="540" w:type="dxa"/>
            <w:tcBorders>
              <w:top w:val="single" w:sz="4" w:space="0" w:color="auto"/>
            </w:tcBorders>
            <w:shd w:val="clear" w:color="auto" w:fill="auto"/>
          </w:tcPr>
          <w:p w14:paraId="2AC7CA72" w14:textId="77777777" w:rsidR="000266D1" w:rsidRPr="00797423" w:rsidRDefault="000266D1" w:rsidP="000266D1">
            <w:pPr>
              <w:pStyle w:val="TableText0"/>
            </w:pPr>
          </w:p>
        </w:tc>
        <w:tc>
          <w:tcPr>
            <w:tcW w:w="540" w:type="dxa"/>
            <w:tcBorders>
              <w:top w:val="single" w:sz="4" w:space="0" w:color="auto"/>
            </w:tcBorders>
            <w:shd w:val="clear" w:color="auto" w:fill="auto"/>
          </w:tcPr>
          <w:p w14:paraId="4DAE38FA" w14:textId="77777777" w:rsidR="000266D1" w:rsidRPr="00797423" w:rsidRDefault="000266D1" w:rsidP="000266D1">
            <w:pPr>
              <w:pStyle w:val="TableText0"/>
            </w:pPr>
          </w:p>
        </w:tc>
        <w:tc>
          <w:tcPr>
            <w:tcW w:w="630" w:type="dxa"/>
            <w:tcBorders>
              <w:top w:val="single" w:sz="4" w:space="0" w:color="auto"/>
            </w:tcBorders>
            <w:shd w:val="clear" w:color="auto" w:fill="auto"/>
          </w:tcPr>
          <w:p w14:paraId="2FCCA630" w14:textId="77777777" w:rsidR="000266D1" w:rsidRPr="00797423" w:rsidRDefault="000266D1" w:rsidP="000266D1">
            <w:pPr>
              <w:pStyle w:val="TableText0"/>
            </w:pPr>
          </w:p>
        </w:tc>
        <w:tc>
          <w:tcPr>
            <w:tcW w:w="630" w:type="dxa"/>
            <w:tcBorders>
              <w:top w:val="single" w:sz="4" w:space="0" w:color="auto"/>
            </w:tcBorders>
            <w:shd w:val="clear" w:color="auto" w:fill="auto"/>
          </w:tcPr>
          <w:p w14:paraId="59105155" w14:textId="77777777" w:rsidR="000266D1" w:rsidRPr="00797423" w:rsidRDefault="000266D1" w:rsidP="000266D1">
            <w:pPr>
              <w:pStyle w:val="TableText0"/>
            </w:pPr>
          </w:p>
        </w:tc>
        <w:tc>
          <w:tcPr>
            <w:tcW w:w="630" w:type="dxa"/>
            <w:tcBorders>
              <w:top w:val="single" w:sz="4" w:space="0" w:color="auto"/>
            </w:tcBorders>
            <w:shd w:val="clear" w:color="auto" w:fill="auto"/>
          </w:tcPr>
          <w:p w14:paraId="620D182C" w14:textId="77777777" w:rsidR="000266D1" w:rsidRPr="00797423" w:rsidRDefault="000266D1" w:rsidP="000266D1">
            <w:pPr>
              <w:pStyle w:val="TableText0"/>
            </w:pPr>
          </w:p>
        </w:tc>
        <w:tc>
          <w:tcPr>
            <w:tcW w:w="630" w:type="dxa"/>
            <w:tcBorders>
              <w:top w:val="single" w:sz="4" w:space="0" w:color="auto"/>
            </w:tcBorders>
            <w:shd w:val="clear" w:color="auto" w:fill="auto"/>
          </w:tcPr>
          <w:p w14:paraId="2B653836" w14:textId="77777777" w:rsidR="000266D1" w:rsidRPr="00797423" w:rsidRDefault="000266D1" w:rsidP="000266D1">
            <w:pPr>
              <w:pStyle w:val="TableText0"/>
            </w:pPr>
          </w:p>
        </w:tc>
        <w:tc>
          <w:tcPr>
            <w:tcW w:w="720" w:type="dxa"/>
            <w:vMerge w:val="restart"/>
            <w:tcBorders>
              <w:top w:val="single" w:sz="4" w:space="0" w:color="auto"/>
            </w:tcBorders>
            <w:shd w:val="clear" w:color="auto" w:fill="auto"/>
          </w:tcPr>
          <w:p w14:paraId="652A3C7E" w14:textId="77777777" w:rsidR="000266D1" w:rsidRPr="00797423" w:rsidRDefault="000266D1" w:rsidP="000266D1">
            <w:pPr>
              <w:pStyle w:val="TableText0"/>
            </w:pPr>
          </w:p>
        </w:tc>
      </w:tr>
      <w:tr w:rsidR="000266D1" w:rsidRPr="00797423" w14:paraId="040787B5" w14:textId="77777777" w:rsidTr="000266D1">
        <w:trPr>
          <w:trHeight w:val="243"/>
        </w:trPr>
        <w:tc>
          <w:tcPr>
            <w:tcW w:w="1530" w:type="dxa"/>
            <w:vMerge/>
            <w:shd w:val="clear" w:color="auto" w:fill="auto"/>
          </w:tcPr>
          <w:p w14:paraId="0DF90BA8" w14:textId="77777777" w:rsidR="000266D1" w:rsidRPr="00797423" w:rsidRDefault="000266D1" w:rsidP="000266D1">
            <w:pPr>
              <w:pStyle w:val="TableText0"/>
            </w:pPr>
          </w:p>
        </w:tc>
        <w:tc>
          <w:tcPr>
            <w:tcW w:w="450" w:type="dxa"/>
            <w:shd w:val="clear" w:color="auto" w:fill="auto"/>
          </w:tcPr>
          <w:p w14:paraId="2640DFCF" w14:textId="77777777" w:rsidR="000266D1" w:rsidRPr="00797423" w:rsidRDefault="000266D1" w:rsidP="000266D1">
            <w:pPr>
              <w:pStyle w:val="TableText0"/>
            </w:pPr>
          </w:p>
        </w:tc>
        <w:tc>
          <w:tcPr>
            <w:tcW w:w="827" w:type="dxa"/>
            <w:shd w:val="clear" w:color="auto" w:fill="auto"/>
            <w:vAlign w:val="center"/>
          </w:tcPr>
          <w:p w14:paraId="21D6CF62" w14:textId="766E30B2" w:rsidR="000266D1" w:rsidRPr="00994B0D" w:rsidRDefault="000266D1" w:rsidP="000266D1">
            <w:pPr>
              <w:pStyle w:val="TableText0"/>
            </w:pPr>
            <w:r w:rsidRPr="00994B0D">
              <w:rPr>
                <w:b/>
              </w:rPr>
              <w:t xml:space="preserve">R </w:t>
            </w:r>
            <w:r>
              <w:rPr>
                <w:b/>
              </w:rPr>
              <w:t>×</w:t>
            </w:r>
            <w:r w:rsidRPr="00994B0D">
              <w:rPr>
                <w:b/>
              </w:rPr>
              <w:t xml:space="preserve"> W = 3</w:t>
            </w:r>
          </w:p>
        </w:tc>
        <w:tc>
          <w:tcPr>
            <w:tcW w:w="703" w:type="dxa"/>
            <w:shd w:val="clear" w:color="auto" w:fill="auto"/>
          </w:tcPr>
          <w:p w14:paraId="48DEAB82" w14:textId="77777777" w:rsidR="000266D1" w:rsidRPr="00797423" w:rsidRDefault="000266D1" w:rsidP="000266D1">
            <w:pPr>
              <w:pStyle w:val="TableText0"/>
            </w:pPr>
          </w:p>
        </w:tc>
        <w:tc>
          <w:tcPr>
            <w:tcW w:w="630" w:type="dxa"/>
            <w:shd w:val="clear" w:color="auto" w:fill="auto"/>
          </w:tcPr>
          <w:p w14:paraId="216669F4" w14:textId="77777777" w:rsidR="000266D1" w:rsidRPr="00797423" w:rsidRDefault="000266D1" w:rsidP="000266D1">
            <w:pPr>
              <w:pStyle w:val="TableText0"/>
            </w:pPr>
          </w:p>
        </w:tc>
        <w:tc>
          <w:tcPr>
            <w:tcW w:w="540" w:type="dxa"/>
            <w:shd w:val="clear" w:color="auto" w:fill="auto"/>
          </w:tcPr>
          <w:p w14:paraId="70FB734E" w14:textId="77777777" w:rsidR="000266D1" w:rsidRPr="00797423" w:rsidRDefault="000266D1" w:rsidP="000266D1">
            <w:pPr>
              <w:pStyle w:val="TableText0"/>
            </w:pPr>
          </w:p>
        </w:tc>
        <w:tc>
          <w:tcPr>
            <w:tcW w:w="540" w:type="dxa"/>
            <w:shd w:val="clear" w:color="auto" w:fill="auto"/>
          </w:tcPr>
          <w:p w14:paraId="798363FB" w14:textId="77777777" w:rsidR="000266D1" w:rsidRPr="00797423" w:rsidRDefault="000266D1" w:rsidP="000266D1">
            <w:pPr>
              <w:pStyle w:val="TableText0"/>
            </w:pPr>
          </w:p>
        </w:tc>
        <w:tc>
          <w:tcPr>
            <w:tcW w:w="540" w:type="dxa"/>
            <w:shd w:val="clear" w:color="auto" w:fill="auto"/>
          </w:tcPr>
          <w:p w14:paraId="409F7C8F" w14:textId="77777777" w:rsidR="000266D1" w:rsidRPr="00797423" w:rsidRDefault="000266D1" w:rsidP="000266D1">
            <w:pPr>
              <w:pStyle w:val="TableText0"/>
            </w:pPr>
          </w:p>
        </w:tc>
        <w:tc>
          <w:tcPr>
            <w:tcW w:w="630" w:type="dxa"/>
            <w:shd w:val="clear" w:color="auto" w:fill="auto"/>
          </w:tcPr>
          <w:p w14:paraId="417A54D6" w14:textId="77777777" w:rsidR="000266D1" w:rsidRPr="00797423" w:rsidRDefault="000266D1" w:rsidP="000266D1">
            <w:pPr>
              <w:pStyle w:val="TableText0"/>
            </w:pPr>
          </w:p>
        </w:tc>
        <w:tc>
          <w:tcPr>
            <w:tcW w:w="630" w:type="dxa"/>
            <w:shd w:val="clear" w:color="auto" w:fill="auto"/>
          </w:tcPr>
          <w:p w14:paraId="0D157C3F" w14:textId="77777777" w:rsidR="000266D1" w:rsidRPr="00797423" w:rsidRDefault="000266D1" w:rsidP="000266D1">
            <w:pPr>
              <w:pStyle w:val="TableText0"/>
            </w:pPr>
          </w:p>
        </w:tc>
        <w:tc>
          <w:tcPr>
            <w:tcW w:w="630" w:type="dxa"/>
            <w:shd w:val="clear" w:color="auto" w:fill="auto"/>
          </w:tcPr>
          <w:p w14:paraId="0C4C42F3" w14:textId="77777777" w:rsidR="000266D1" w:rsidRPr="00797423" w:rsidRDefault="000266D1" w:rsidP="000266D1">
            <w:pPr>
              <w:pStyle w:val="TableText0"/>
            </w:pPr>
          </w:p>
        </w:tc>
        <w:tc>
          <w:tcPr>
            <w:tcW w:w="630" w:type="dxa"/>
            <w:shd w:val="clear" w:color="auto" w:fill="auto"/>
          </w:tcPr>
          <w:p w14:paraId="64B11162" w14:textId="77777777" w:rsidR="000266D1" w:rsidRPr="00797423" w:rsidRDefault="000266D1" w:rsidP="000266D1">
            <w:pPr>
              <w:pStyle w:val="TableText0"/>
            </w:pPr>
          </w:p>
        </w:tc>
        <w:tc>
          <w:tcPr>
            <w:tcW w:w="720" w:type="dxa"/>
            <w:vMerge/>
            <w:shd w:val="clear" w:color="auto" w:fill="auto"/>
          </w:tcPr>
          <w:p w14:paraId="77F4C3C6" w14:textId="77777777" w:rsidR="000266D1" w:rsidRPr="00797423" w:rsidRDefault="000266D1" w:rsidP="000266D1">
            <w:pPr>
              <w:pStyle w:val="TableText0"/>
            </w:pPr>
          </w:p>
        </w:tc>
      </w:tr>
      <w:tr w:rsidR="000266D1" w:rsidRPr="00797423" w14:paraId="60DFCD53" w14:textId="77777777" w:rsidTr="000266D1">
        <w:trPr>
          <w:trHeight w:val="324"/>
        </w:trPr>
        <w:tc>
          <w:tcPr>
            <w:tcW w:w="1530" w:type="dxa"/>
            <w:vMerge w:val="restart"/>
            <w:shd w:val="clear" w:color="auto" w:fill="auto"/>
          </w:tcPr>
          <w:p w14:paraId="52AFD7E6" w14:textId="77777777" w:rsidR="000266D1" w:rsidRPr="00797423" w:rsidRDefault="000266D1" w:rsidP="000266D1">
            <w:pPr>
              <w:pStyle w:val="TableText0"/>
            </w:pPr>
            <w:r>
              <w:t>Option 2</w:t>
            </w:r>
          </w:p>
        </w:tc>
        <w:tc>
          <w:tcPr>
            <w:tcW w:w="450" w:type="dxa"/>
            <w:shd w:val="clear" w:color="auto" w:fill="auto"/>
          </w:tcPr>
          <w:p w14:paraId="3EFA77A2" w14:textId="77777777" w:rsidR="000266D1" w:rsidRPr="00797423" w:rsidRDefault="000266D1" w:rsidP="000266D1">
            <w:pPr>
              <w:pStyle w:val="TableText0"/>
            </w:pPr>
          </w:p>
        </w:tc>
        <w:tc>
          <w:tcPr>
            <w:tcW w:w="827" w:type="dxa"/>
            <w:shd w:val="clear" w:color="auto" w:fill="auto"/>
            <w:vAlign w:val="center"/>
          </w:tcPr>
          <w:p w14:paraId="29CC5CF7" w14:textId="77777777" w:rsidR="000266D1" w:rsidRPr="000F1044" w:rsidRDefault="000266D1" w:rsidP="000266D1">
            <w:pPr>
              <w:pStyle w:val="TableText0"/>
              <w:rPr>
                <w:b/>
              </w:rPr>
            </w:pPr>
            <w:r w:rsidRPr="000F1044">
              <w:rPr>
                <w:b/>
              </w:rPr>
              <w:t>R = 3</w:t>
            </w:r>
          </w:p>
        </w:tc>
        <w:tc>
          <w:tcPr>
            <w:tcW w:w="703" w:type="dxa"/>
            <w:shd w:val="clear" w:color="auto" w:fill="auto"/>
          </w:tcPr>
          <w:p w14:paraId="201744C7" w14:textId="77777777" w:rsidR="000266D1" w:rsidRPr="00797423" w:rsidRDefault="000266D1" w:rsidP="000266D1">
            <w:pPr>
              <w:pStyle w:val="TableText0"/>
            </w:pPr>
          </w:p>
        </w:tc>
        <w:tc>
          <w:tcPr>
            <w:tcW w:w="630" w:type="dxa"/>
            <w:shd w:val="clear" w:color="auto" w:fill="auto"/>
          </w:tcPr>
          <w:p w14:paraId="37B63FFD" w14:textId="77777777" w:rsidR="000266D1" w:rsidRPr="00797423" w:rsidRDefault="000266D1" w:rsidP="000266D1">
            <w:pPr>
              <w:pStyle w:val="TableText0"/>
            </w:pPr>
          </w:p>
        </w:tc>
        <w:tc>
          <w:tcPr>
            <w:tcW w:w="540" w:type="dxa"/>
            <w:shd w:val="clear" w:color="auto" w:fill="auto"/>
          </w:tcPr>
          <w:p w14:paraId="65C1A181" w14:textId="77777777" w:rsidR="000266D1" w:rsidRPr="00797423" w:rsidRDefault="000266D1" w:rsidP="000266D1">
            <w:pPr>
              <w:pStyle w:val="TableText0"/>
            </w:pPr>
          </w:p>
        </w:tc>
        <w:tc>
          <w:tcPr>
            <w:tcW w:w="540" w:type="dxa"/>
            <w:shd w:val="clear" w:color="auto" w:fill="auto"/>
          </w:tcPr>
          <w:p w14:paraId="505DAE79" w14:textId="77777777" w:rsidR="000266D1" w:rsidRPr="00797423" w:rsidRDefault="000266D1" w:rsidP="000266D1">
            <w:pPr>
              <w:pStyle w:val="TableText0"/>
            </w:pPr>
          </w:p>
        </w:tc>
        <w:tc>
          <w:tcPr>
            <w:tcW w:w="540" w:type="dxa"/>
            <w:shd w:val="clear" w:color="auto" w:fill="auto"/>
          </w:tcPr>
          <w:p w14:paraId="34FB4547" w14:textId="77777777" w:rsidR="000266D1" w:rsidRPr="00797423" w:rsidRDefault="000266D1" w:rsidP="000266D1">
            <w:pPr>
              <w:pStyle w:val="TableText0"/>
            </w:pPr>
          </w:p>
        </w:tc>
        <w:tc>
          <w:tcPr>
            <w:tcW w:w="630" w:type="dxa"/>
            <w:shd w:val="clear" w:color="auto" w:fill="auto"/>
          </w:tcPr>
          <w:p w14:paraId="269D8F29" w14:textId="77777777" w:rsidR="000266D1" w:rsidRPr="00797423" w:rsidRDefault="000266D1" w:rsidP="000266D1">
            <w:pPr>
              <w:pStyle w:val="TableText0"/>
            </w:pPr>
          </w:p>
        </w:tc>
        <w:tc>
          <w:tcPr>
            <w:tcW w:w="630" w:type="dxa"/>
            <w:shd w:val="clear" w:color="auto" w:fill="auto"/>
          </w:tcPr>
          <w:p w14:paraId="0589CD9F" w14:textId="77777777" w:rsidR="000266D1" w:rsidRPr="00797423" w:rsidRDefault="000266D1" w:rsidP="000266D1">
            <w:pPr>
              <w:pStyle w:val="TableText0"/>
            </w:pPr>
          </w:p>
        </w:tc>
        <w:tc>
          <w:tcPr>
            <w:tcW w:w="630" w:type="dxa"/>
            <w:shd w:val="clear" w:color="auto" w:fill="auto"/>
          </w:tcPr>
          <w:p w14:paraId="12A2094F" w14:textId="77777777" w:rsidR="000266D1" w:rsidRPr="00797423" w:rsidRDefault="000266D1" w:rsidP="000266D1">
            <w:pPr>
              <w:pStyle w:val="TableText0"/>
            </w:pPr>
          </w:p>
        </w:tc>
        <w:tc>
          <w:tcPr>
            <w:tcW w:w="630" w:type="dxa"/>
            <w:shd w:val="clear" w:color="auto" w:fill="auto"/>
          </w:tcPr>
          <w:p w14:paraId="6D4BC62E" w14:textId="77777777" w:rsidR="000266D1" w:rsidRPr="00797423" w:rsidRDefault="000266D1" w:rsidP="000266D1">
            <w:pPr>
              <w:pStyle w:val="TableText0"/>
            </w:pPr>
          </w:p>
        </w:tc>
        <w:tc>
          <w:tcPr>
            <w:tcW w:w="720" w:type="dxa"/>
            <w:vMerge w:val="restart"/>
            <w:shd w:val="clear" w:color="auto" w:fill="auto"/>
          </w:tcPr>
          <w:p w14:paraId="0EFED28B" w14:textId="77777777" w:rsidR="000266D1" w:rsidRPr="00797423" w:rsidRDefault="000266D1" w:rsidP="000266D1">
            <w:pPr>
              <w:pStyle w:val="TableText0"/>
            </w:pPr>
          </w:p>
        </w:tc>
      </w:tr>
      <w:tr w:rsidR="000266D1" w:rsidRPr="00797423" w14:paraId="5FFC6CFE" w14:textId="77777777" w:rsidTr="000266D1">
        <w:trPr>
          <w:trHeight w:val="126"/>
        </w:trPr>
        <w:tc>
          <w:tcPr>
            <w:tcW w:w="1530" w:type="dxa"/>
            <w:vMerge/>
            <w:shd w:val="clear" w:color="auto" w:fill="auto"/>
          </w:tcPr>
          <w:p w14:paraId="04D4D727" w14:textId="77777777" w:rsidR="000266D1" w:rsidRPr="00797423" w:rsidRDefault="000266D1" w:rsidP="000266D1">
            <w:pPr>
              <w:pStyle w:val="TableText0"/>
            </w:pPr>
          </w:p>
        </w:tc>
        <w:tc>
          <w:tcPr>
            <w:tcW w:w="450" w:type="dxa"/>
            <w:shd w:val="clear" w:color="auto" w:fill="auto"/>
          </w:tcPr>
          <w:p w14:paraId="744E9927" w14:textId="77777777" w:rsidR="000266D1" w:rsidRPr="00797423" w:rsidRDefault="000266D1" w:rsidP="000266D1">
            <w:pPr>
              <w:pStyle w:val="TableText0"/>
            </w:pPr>
          </w:p>
        </w:tc>
        <w:tc>
          <w:tcPr>
            <w:tcW w:w="827" w:type="dxa"/>
            <w:shd w:val="clear" w:color="auto" w:fill="auto"/>
            <w:vAlign w:val="center"/>
          </w:tcPr>
          <w:p w14:paraId="065670E5" w14:textId="7C4F0BA1" w:rsidR="000266D1" w:rsidRPr="00994B0D" w:rsidRDefault="000266D1" w:rsidP="000266D1">
            <w:pPr>
              <w:pStyle w:val="TableText0"/>
            </w:pPr>
            <w:r w:rsidRPr="00994B0D">
              <w:rPr>
                <w:b/>
              </w:rPr>
              <w:t xml:space="preserve">R </w:t>
            </w:r>
            <w:r>
              <w:rPr>
                <w:b/>
              </w:rPr>
              <w:t>×</w:t>
            </w:r>
            <w:r w:rsidRPr="00994B0D">
              <w:rPr>
                <w:b/>
              </w:rPr>
              <w:t xml:space="preserve"> W = 9</w:t>
            </w:r>
          </w:p>
        </w:tc>
        <w:tc>
          <w:tcPr>
            <w:tcW w:w="703" w:type="dxa"/>
            <w:shd w:val="clear" w:color="auto" w:fill="auto"/>
          </w:tcPr>
          <w:p w14:paraId="3D35C11B" w14:textId="77777777" w:rsidR="000266D1" w:rsidRPr="00797423" w:rsidRDefault="000266D1" w:rsidP="000266D1">
            <w:pPr>
              <w:pStyle w:val="TableText0"/>
            </w:pPr>
          </w:p>
        </w:tc>
        <w:tc>
          <w:tcPr>
            <w:tcW w:w="630" w:type="dxa"/>
            <w:shd w:val="clear" w:color="auto" w:fill="auto"/>
          </w:tcPr>
          <w:p w14:paraId="523E0053" w14:textId="77777777" w:rsidR="000266D1" w:rsidRPr="00797423" w:rsidRDefault="000266D1" w:rsidP="000266D1">
            <w:pPr>
              <w:pStyle w:val="TableText0"/>
            </w:pPr>
          </w:p>
        </w:tc>
        <w:tc>
          <w:tcPr>
            <w:tcW w:w="540" w:type="dxa"/>
            <w:shd w:val="clear" w:color="auto" w:fill="auto"/>
          </w:tcPr>
          <w:p w14:paraId="2F9F4FFD" w14:textId="77777777" w:rsidR="000266D1" w:rsidRPr="00797423" w:rsidRDefault="000266D1" w:rsidP="000266D1">
            <w:pPr>
              <w:pStyle w:val="TableText0"/>
            </w:pPr>
          </w:p>
        </w:tc>
        <w:tc>
          <w:tcPr>
            <w:tcW w:w="540" w:type="dxa"/>
            <w:shd w:val="clear" w:color="auto" w:fill="auto"/>
          </w:tcPr>
          <w:p w14:paraId="0DCC5C9A" w14:textId="77777777" w:rsidR="000266D1" w:rsidRPr="00797423" w:rsidRDefault="000266D1" w:rsidP="000266D1">
            <w:pPr>
              <w:pStyle w:val="TableText0"/>
            </w:pPr>
          </w:p>
        </w:tc>
        <w:tc>
          <w:tcPr>
            <w:tcW w:w="540" w:type="dxa"/>
            <w:shd w:val="clear" w:color="auto" w:fill="auto"/>
          </w:tcPr>
          <w:p w14:paraId="7409428E" w14:textId="77777777" w:rsidR="000266D1" w:rsidRPr="00797423" w:rsidRDefault="000266D1" w:rsidP="000266D1">
            <w:pPr>
              <w:pStyle w:val="TableText0"/>
            </w:pPr>
          </w:p>
        </w:tc>
        <w:tc>
          <w:tcPr>
            <w:tcW w:w="630" w:type="dxa"/>
            <w:shd w:val="clear" w:color="auto" w:fill="auto"/>
          </w:tcPr>
          <w:p w14:paraId="224B2DC9" w14:textId="77777777" w:rsidR="000266D1" w:rsidRPr="00797423" w:rsidRDefault="000266D1" w:rsidP="000266D1">
            <w:pPr>
              <w:pStyle w:val="TableText0"/>
            </w:pPr>
          </w:p>
        </w:tc>
        <w:tc>
          <w:tcPr>
            <w:tcW w:w="630" w:type="dxa"/>
            <w:shd w:val="clear" w:color="auto" w:fill="auto"/>
          </w:tcPr>
          <w:p w14:paraId="39283696" w14:textId="77777777" w:rsidR="000266D1" w:rsidRPr="00797423" w:rsidRDefault="000266D1" w:rsidP="000266D1">
            <w:pPr>
              <w:pStyle w:val="TableText0"/>
            </w:pPr>
          </w:p>
        </w:tc>
        <w:tc>
          <w:tcPr>
            <w:tcW w:w="630" w:type="dxa"/>
            <w:shd w:val="clear" w:color="auto" w:fill="auto"/>
          </w:tcPr>
          <w:p w14:paraId="56C2E5AB" w14:textId="77777777" w:rsidR="000266D1" w:rsidRPr="00797423" w:rsidRDefault="000266D1" w:rsidP="000266D1">
            <w:pPr>
              <w:pStyle w:val="TableText0"/>
            </w:pPr>
          </w:p>
        </w:tc>
        <w:tc>
          <w:tcPr>
            <w:tcW w:w="630" w:type="dxa"/>
            <w:shd w:val="clear" w:color="auto" w:fill="auto"/>
          </w:tcPr>
          <w:p w14:paraId="0DF1AE69" w14:textId="77777777" w:rsidR="000266D1" w:rsidRPr="00797423" w:rsidRDefault="000266D1" w:rsidP="000266D1">
            <w:pPr>
              <w:pStyle w:val="TableText0"/>
            </w:pPr>
          </w:p>
        </w:tc>
        <w:tc>
          <w:tcPr>
            <w:tcW w:w="720" w:type="dxa"/>
            <w:vMerge/>
            <w:shd w:val="clear" w:color="auto" w:fill="auto"/>
          </w:tcPr>
          <w:p w14:paraId="0BBCAB18" w14:textId="77777777" w:rsidR="000266D1" w:rsidRPr="00797423" w:rsidRDefault="000266D1" w:rsidP="000266D1">
            <w:pPr>
              <w:pStyle w:val="TableText0"/>
            </w:pPr>
          </w:p>
        </w:tc>
      </w:tr>
      <w:tr w:rsidR="000266D1" w:rsidRPr="00797423" w14:paraId="3DA1AAFF" w14:textId="77777777" w:rsidTr="000266D1">
        <w:trPr>
          <w:trHeight w:val="276"/>
        </w:trPr>
        <w:tc>
          <w:tcPr>
            <w:tcW w:w="1530" w:type="dxa"/>
            <w:vMerge w:val="restart"/>
            <w:shd w:val="clear" w:color="auto" w:fill="auto"/>
          </w:tcPr>
          <w:p w14:paraId="59108E82" w14:textId="77777777" w:rsidR="000266D1" w:rsidRPr="00797423" w:rsidRDefault="000266D1" w:rsidP="000266D1">
            <w:pPr>
              <w:pStyle w:val="TableText0"/>
            </w:pPr>
            <w:r>
              <w:t>Option 3</w:t>
            </w:r>
          </w:p>
        </w:tc>
        <w:tc>
          <w:tcPr>
            <w:tcW w:w="450" w:type="dxa"/>
            <w:shd w:val="clear" w:color="auto" w:fill="auto"/>
          </w:tcPr>
          <w:p w14:paraId="6B37E884" w14:textId="77777777" w:rsidR="000266D1" w:rsidRPr="00797423" w:rsidRDefault="000266D1" w:rsidP="000266D1">
            <w:pPr>
              <w:pStyle w:val="TableText0"/>
            </w:pPr>
          </w:p>
        </w:tc>
        <w:tc>
          <w:tcPr>
            <w:tcW w:w="827" w:type="dxa"/>
            <w:shd w:val="clear" w:color="auto" w:fill="auto"/>
            <w:vAlign w:val="center"/>
          </w:tcPr>
          <w:p w14:paraId="5AE0013E" w14:textId="77777777" w:rsidR="000266D1" w:rsidRPr="000F1044" w:rsidRDefault="000266D1" w:rsidP="000266D1">
            <w:pPr>
              <w:pStyle w:val="TableText0"/>
              <w:rPr>
                <w:b/>
              </w:rPr>
            </w:pPr>
            <w:r w:rsidRPr="000F1044">
              <w:rPr>
                <w:b/>
              </w:rPr>
              <w:t>R = 4</w:t>
            </w:r>
          </w:p>
        </w:tc>
        <w:tc>
          <w:tcPr>
            <w:tcW w:w="703" w:type="dxa"/>
            <w:shd w:val="clear" w:color="auto" w:fill="auto"/>
          </w:tcPr>
          <w:p w14:paraId="5E9C99F0" w14:textId="77777777" w:rsidR="000266D1" w:rsidRPr="00797423" w:rsidRDefault="000266D1" w:rsidP="000266D1">
            <w:pPr>
              <w:pStyle w:val="TableText0"/>
            </w:pPr>
          </w:p>
        </w:tc>
        <w:tc>
          <w:tcPr>
            <w:tcW w:w="630" w:type="dxa"/>
            <w:shd w:val="clear" w:color="auto" w:fill="auto"/>
          </w:tcPr>
          <w:p w14:paraId="38CA740A" w14:textId="77777777" w:rsidR="000266D1" w:rsidRPr="00797423" w:rsidRDefault="000266D1" w:rsidP="000266D1">
            <w:pPr>
              <w:pStyle w:val="TableText0"/>
            </w:pPr>
          </w:p>
        </w:tc>
        <w:tc>
          <w:tcPr>
            <w:tcW w:w="540" w:type="dxa"/>
            <w:shd w:val="clear" w:color="auto" w:fill="auto"/>
          </w:tcPr>
          <w:p w14:paraId="49D27408" w14:textId="77777777" w:rsidR="000266D1" w:rsidRPr="00797423" w:rsidRDefault="000266D1" w:rsidP="000266D1">
            <w:pPr>
              <w:pStyle w:val="TableText0"/>
            </w:pPr>
          </w:p>
        </w:tc>
        <w:tc>
          <w:tcPr>
            <w:tcW w:w="540" w:type="dxa"/>
            <w:shd w:val="clear" w:color="auto" w:fill="auto"/>
          </w:tcPr>
          <w:p w14:paraId="29BA2CED" w14:textId="77777777" w:rsidR="000266D1" w:rsidRPr="00797423" w:rsidRDefault="000266D1" w:rsidP="000266D1">
            <w:pPr>
              <w:pStyle w:val="TableText0"/>
            </w:pPr>
          </w:p>
        </w:tc>
        <w:tc>
          <w:tcPr>
            <w:tcW w:w="540" w:type="dxa"/>
            <w:shd w:val="clear" w:color="auto" w:fill="auto"/>
          </w:tcPr>
          <w:p w14:paraId="665A47A7" w14:textId="77777777" w:rsidR="000266D1" w:rsidRPr="00797423" w:rsidRDefault="000266D1" w:rsidP="000266D1">
            <w:pPr>
              <w:pStyle w:val="TableText0"/>
            </w:pPr>
          </w:p>
        </w:tc>
        <w:tc>
          <w:tcPr>
            <w:tcW w:w="630" w:type="dxa"/>
            <w:shd w:val="clear" w:color="auto" w:fill="auto"/>
          </w:tcPr>
          <w:p w14:paraId="307BBD6B" w14:textId="77777777" w:rsidR="000266D1" w:rsidRPr="00797423" w:rsidRDefault="000266D1" w:rsidP="000266D1">
            <w:pPr>
              <w:pStyle w:val="TableText0"/>
            </w:pPr>
          </w:p>
        </w:tc>
        <w:tc>
          <w:tcPr>
            <w:tcW w:w="630" w:type="dxa"/>
            <w:shd w:val="clear" w:color="auto" w:fill="auto"/>
          </w:tcPr>
          <w:p w14:paraId="161E6CFE" w14:textId="77777777" w:rsidR="000266D1" w:rsidRPr="00797423" w:rsidRDefault="000266D1" w:rsidP="000266D1">
            <w:pPr>
              <w:pStyle w:val="TableText0"/>
            </w:pPr>
          </w:p>
        </w:tc>
        <w:tc>
          <w:tcPr>
            <w:tcW w:w="630" w:type="dxa"/>
            <w:shd w:val="clear" w:color="auto" w:fill="auto"/>
          </w:tcPr>
          <w:p w14:paraId="28480BD0" w14:textId="77777777" w:rsidR="000266D1" w:rsidRPr="00797423" w:rsidRDefault="000266D1" w:rsidP="000266D1">
            <w:pPr>
              <w:pStyle w:val="TableText0"/>
            </w:pPr>
          </w:p>
        </w:tc>
        <w:tc>
          <w:tcPr>
            <w:tcW w:w="630" w:type="dxa"/>
            <w:shd w:val="clear" w:color="auto" w:fill="auto"/>
          </w:tcPr>
          <w:p w14:paraId="6EFA0599" w14:textId="77777777" w:rsidR="000266D1" w:rsidRPr="00797423" w:rsidRDefault="000266D1" w:rsidP="000266D1">
            <w:pPr>
              <w:pStyle w:val="TableText0"/>
            </w:pPr>
          </w:p>
        </w:tc>
        <w:tc>
          <w:tcPr>
            <w:tcW w:w="720" w:type="dxa"/>
            <w:vMerge w:val="restart"/>
            <w:shd w:val="clear" w:color="auto" w:fill="auto"/>
          </w:tcPr>
          <w:p w14:paraId="08B5B306" w14:textId="77777777" w:rsidR="000266D1" w:rsidRPr="00797423" w:rsidRDefault="000266D1" w:rsidP="000266D1">
            <w:pPr>
              <w:pStyle w:val="TableText0"/>
            </w:pPr>
          </w:p>
        </w:tc>
      </w:tr>
      <w:tr w:rsidR="000266D1" w:rsidRPr="00797423" w14:paraId="6B748773" w14:textId="77777777" w:rsidTr="000266D1">
        <w:trPr>
          <w:trHeight w:val="135"/>
        </w:trPr>
        <w:tc>
          <w:tcPr>
            <w:tcW w:w="1530" w:type="dxa"/>
            <w:vMerge/>
            <w:shd w:val="clear" w:color="auto" w:fill="auto"/>
          </w:tcPr>
          <w:p w14:paraId="7E29CCDA" w14:textId="77777777" w:rsidR="000266D1" w:rsidRPr="00797423" w:rsidRDefault="000266D1" w:rsidP="000266D1">
            <w:pPr>
              <w:pStyle w:val="TableText0"/>
            </w:pPr>
          </w:p>
        </w:tc>
        <w:tc>
          <w:tcPr>
            <w:tcW w:w="450" w:type="dxa"/>
            <w:shd w:val="clear" w:color="auto" w:fill="auto"/>
          </w:tcPr>
          <w:p w14:paraId="24A4CDB2" w14:textId="77777777" w:rsidR="000266D1" w:rsidRPr="00797423" w:rsidRDefault="000266D1" w:rsidP="000266D1">
            <w:pPr>
              <w:pStyle w:val="TableText0"/>
            </w:pPr>
          </w:p>
        </w:tc>
        <w:tc>
          <w:tcPr>
            <w:tcW w:w="827" w:type="dxa"/>
            <w:shd w:val="clear" w:color="auto" w:fill="auto"/>
            <w:vAlign w:val="center"/>
          </w:tcPr>
          <w:p w14:paraId="6173DAF0" w14:textId="7F7E2023" w:rsidR="000266D1" w:rsidRPr="00994B0D" w:rsidRDefault="000266D1" w:rsidP="000266D1">
            <w:pPr>
              <w:pStyle w:val="TableText0"/>
            </w:pPr>
            <w:r w:rsidRPr="00994B0D">
              <w:rPr>
                <w:b/>
              </w:rPr>
              <w:t xml:space="preserve">R </w:t>
            </w:r>
            <w:r>
              <w:rPr>
                <w:b/>
              </w:rPr>
              <w:t>×</w:t>
            </w:r>
            <w:r w:rsidRPr="00994B0D">
              <w:rPr>
                <w:b/>
              </w:rPr>
              <w:t xml:space="preserve"> W = 12</w:t>
            </w:r>
          </w:p>
        </w:tc>
        <w:tc>
          <w:tcPr>
            <w:tcW w:w="703" w:type="dxa"/>
            <w:shd w:val="clear" w:color="auto" w:fill="auto"/>
          </w:tcPr>
          <w:p w14:paraId="34A308A6" w14:textId="77777777" w:rsidR="000266D1" w:rsidRPr="00797423" w:rsidRDefault="000266D1" w:rsidP="000266D1">
            <w:pPr>
              <w:pStyle w:val="TableText0"/>
            </w:pPr>
          </w:p>
        </w:tc>
        <w:tc>
          <w:tcPr>
            <w:tcW w:w="630" w:type="dxa"/>
            <w:shd w:val="clear" w:color="auto" w:fill="auto"/>
          </w:tcPr>
          <w:p w14:paraId="6D8F8B83" w14:textId="77777777" w:rsidR="000266D1" w:rsidRPr="00797423" w:rsidRDefault="000266D1" w:rsidP="000266D1">
            <w:pPr>
              <w:pStyle w:val="TableText0"/>
            </w:pPr>
          </w:p>
        </w:tc>
        <w:tc>
          <w:tcPr>
            <w:tcW w:w="540" w:type="dxa"/>
            <w:shd w:val="clear" w:color="auto" w:fill="auto"/>
          </w:tcPr>
          <w:p w14:paraId="36E81E2C" w14:textId="77777777" w:rsidR="000266D1" w:rsidRPr="00797423" w:rsidRDefault="000266D1" w:rsidP="000266D1">
            <w:pPr>
              <w:pStyle w:val="TableText0"/>
            </w:pPr>
          </w:p>
        </w:tc>
        <w:tc>
          <w:tcPr>
            <w:tcW w:w="540" w:type="dxa"/>
            <w:shd w:val="clear" w:color="auto" w:fill="auto"/>
          </w:tcPr>
          <w:p w14:paraId="01DA41F3" w14:textId="77777777" w:rsidR="000266D1" w:rsidRPr="00797423" w:rsidRDefault="000266D1" w:rsidP="000266D1">
            <w:pPr>
              <w:pStyle w:val="TableText0"/>
            </w:pPr>
          </w:p>
        </w:tc>
        <w:tc>
          <w:tcPr>
            <w:tcW w:w="540" w:type="dxa"/>
            <w:shd w:val="clear" w:color="auto" w:fill="auto"/>
          </w:tcPr>
          <w:p w14:paraId="2D20B117" w14:textId="77777777" w:rsidR="000266D1" w:rsidRPr="00797423" w:rsidRDefault="000266D1" w:rsidP="000266D1">
            <w:pPr>
              <w:pStyle w:val="TableText0"/>
            </w:pPr>
          </w:p>
        </w:tc>
        <w:tc>
          <w:tcPr>
            <w:tcW w:w="630" w:type="dxa"/>
            <w:shd w:val="clear" w:color="auto" w:fill="auto"/>
          </w:tcPr>
          <w:p w14:paraId="5A368078" w14:textId="77777777" w:rsidR="000266D1" w:rsidRPr="00797423" w:rsidRDefault="000266D1" w:rsidP="000266D1">
            <w:pPr>
              <w:pStyle w:val="TableText0"/>
            </w:pPr>
          </w:p>
        </w:tc>
        <w:tc>
          <w:tcPr>
            <w:tcW w:w="630" w:type="dxa"/>
            <w:shd w:val="clear" w:color="auto" w:fill="auto"/>
          </w:tcPr>
          <w:p w14:paraId="77EB6683" w14:textId="77777777" w:rsidR="000266D1" w:rsidRPr="00797423" w:rsidRDefault="000266D1" w:rsidP="000266D1">
            <w:pPr>
              <w:pStyle w:val="TableText0"/>
            </w:pPr>
          </w:p>
        </w:tc>
        <w:tc>
          <w:tcPr>
            <w:tcW w:w="630" w:type="dxa"/>
            <w:shd w:val="clear" w:color="auto" w:fill="auto"/>
          </w:tcPr>
          <w:p w14:paraId="1CC8B783" w14:textId="77777777" w:rsidR="000266D1" w:rsidRPr="00797423" w:rsidRDefault="000266D1" w:rsidP="000266D1">
            <w:pPr>
              <w:pStyle w:val="TableText0"/>
            </w:pPr>
          </w:p>
        </w:tc>
        <w:tc>
          <w:tcPr>
            <w:tcW w:w="630" w:type="dxa"/>
            <w:shd w:val="clear" w:color="auto" w:fill="auto"/>
          </w:tcPr>
          <w:p w14:paraId="5B34E319" w14:textId="77777777" w:rsidR="000266D1" w:rsidRPr="00797423" w:rsidRDefault="000266D1" w:rsidP="000266D1">
            <w:pPr>
              <w:pStyle w:val="TableText0"/>
            </w:pPr>
          </w:p>
        </w:tc>
        <w:tc>
          <w:tcPr>
            <w:tcW w:w="720" w:type="dxa"/>
            <w:vMerge/>
            <w:shd w:val="clear" w:color="auto" w:fill="auto"/>
          </w:tcPr>
          <w:p w14:paraId="16F90D00" w14:textId="77777777" w:rsidR="000266D1" w:rsidRPr="00797423" w:rsidRDefault="000266D1" w:rsidP="000266D1">
            <w:pPr>
              <w:pStyle w:val="TableText0"/>
            </w:pPr>
          </w:p>
        </w:tc>
      </w:tr>
      <w:tr w:rsidR="000266D1" w:rsidRPr="00797423" w14:paraId="07E659EE" w14:textId="77777777" w:rsidTr="000266D1">
        <w:trPr>
          <w:trHeight w:val="243"/>
        </w:trPr>
        <w:tc>
          <w:tcPr>
            <w:tcW w:w="1530" w:type="dxa"/>
            <w:vMerge w:val="restart"/>
            <w:shd w:val="clear" w:color="auto" w:fill="auto"/>
          </w:tcPr>
          <w:p w14:paraId="0C5EB34E" w14:textId="77777777" w:rsidR="000266D1" w:rsidRPr="00797423" w:rsidRDefault="000266D1" w:rsidP="000266D1">
            <w:pPr>
              <w:pStyle w:val="TableText0"/>
            </w:pPr>
            <w:r>
              <w:t>Option 4</w:t>
            </w:r>
          </w:p>
        </w:tc>
        <w:tc>
          <w:tcPr>
            <w:tcW w:w="450" w:type="dxa"/>
            <w:shd w:val="clear" w:color="auto" w:fill="auto"/>
          </w:tcPr>
          <w:p w14:paraId="2811730E" w14:textId="77777777" w:rsidR="000266D1" w:rsidRPr="00797423" w:rsidRDefault="000266D1" w:rsidP="000266D1">
            <w:pPr>
              <w:pStyle w:val="TableText0"/>
            </w:pPr>
          </w:p>
        </w:tc>
        <w:tc>
          <w:tcPr>
            <w:tcW w:w="827" w:type="dxa"/>
            <w:shd w:val="clear" w:color="auto" w:fill="auto"/>
            <w:vAlign w:val="center"/>
          </w:tcPr>
          <w:p w14:paraId="4077B102" w14:textId="77777777" w:rsidR="000266D1" w:rsidRPr="00994B0D" w:rsidRDefault="000266D1" w:rsidP="000266D1">
            <w:pPr>
              <w:pStyle w:val="TableText0"/>
            </w:pPr>
            <w:r w:rsidRPr="00994B0D">
              <w:rPr>
                <w:b/>
              </w:rPr>
              <w:t>R</w:t>
            </w:r>
            <w:r w:rsidRPr="00994B0D">
              <w:t xml:space="preserve"> = 2</w:t>
            </w:r>
          </w:p>
        </w:tc>
        <w:tc>
          <w:tcPr>
            <w:tcW w:w="703" w:type="dxa"/>
            <w:shd w:val="clear" w:color="auto" w:fill="auto"/>
          </w:tcPr>
          <w:p w14:paraId="4ACE7A29" w14:textId="77777777" w:rsidR="000266D1" w:rsidRPr="00797423" w:rsidRDefault="000266D1" w:rsidP="000266D1">
            <w:pPr>
              <w:pStyle w:val="TableText0"/>
            </w:pPr>
          </w:p>
        </w:tc>
        <w:tc>
          <w:tcPr>
            <w:tcW w:w="630" w:type="dxa"/>
            <w:shd w:val="clear" w:color="auto" w:fill="auto"/>
          </w:tcPr>
          <w:p w14:paraId="6E3147F7" w14:textId="77777777" w:rsidR="000266D1" w:rsidRPr="00797423" w:rsidRDefault="000266D1" w:rsidP="000266D1">
            <w:pPr>
              <w:pStyle w:val="TableText0"/>
            </w:pPr>
          </w:p>
        </w:tc>
        <w:tc>
          <w:tcPr>
            <w:tcW w:w="540" w:type="dxa"/>
            <w:shd w:val="clear" w:color="auto" w:fill="auto"/>
          </w:tcPr>
          <w:p w14:paraId="73A2BD19" w14:textId="77777777" w:rsidR="000266D1" w:rsidRPr="00797423" w:rsidRDefault="000266D1" w:rsidP="000266D1">
            <w:pPr>
              <w:pStyle w:val="TableText0"/>
            </w:pPr>
          </w:p>
        </w:tc>
        <w:tc>
          <w:tcPr>
            <w:tcW w:w="540" w:type="dxa"/>
            <w:shd w:val="clear" w:color="auto" w:fill="auto"/>
          </w:tcPr>
          <w:p w14:paraId="453D575A" w14:textId="77777777" w:rsidR="000266D1" w:rsidRPr="00797423" w:rsidRDefault="000266D1" w:rsidP="000266D1">
            <w:pPr>
              <w:pStyle w:val="TableText0"/>
            </w:pPr>
          </w:p>
        </w:tc>
        <w:tc>
          <w:tcPr>
            <w:tcW w:w="540" w:type="dxa"/>
            <w:shd w:val="clear" w:color="auto" w:fill="auto"/>
          </w:tcPr>
          <w:p w14:paraId="5D4CE77E" w14:textId="77777777" w:rsidR="000266D1" w:rsidRPr="00797423" w:rsidRDefault="000266D1" w:rsidP="000266D1">
            <w:pPr>
              <w:pStyle w:val="TableText0"/>
            </w:pPr>
          </w:p>
        </w:tc>
        <w:tc>
          <w:tcPr>
            <w:tcW w:w="630" w:type="dxa"/>
            <w:shd w:val="clear" w:color="auto" w:fill="auto"/>
          </w:tcPr>
          <w:p w14:paraId="6A59B7C5" w14:textId="77777777" w:rsidR="000266D1" w:rsidRPr="00797423" w:rsidRDefault="000266D1" w:rsidP="000266D1">
            <w:pPr>
              <w:pStyle w:val="TableText0"/>
            </w:pPr>
          </w:p>
        </w:tc>
        <w:tc>
          <w:tcPr>
            <w:tcW w:w="630" w:type="dxa"/>
            <w:shd w:val="clear" w:color="auto" w:fill="auto"/>
          </w:tcPr>
          <w:p w14:paraId="0EEBE918" w14:textId="77777777" w:rsidR="000266D1" w:rsidRPr="00797423" w:rsidRDefault="000266D1" w:rsidP="000266D1">
            <w:pPr>
              <w:pStyle w:val="TableText0"/>
            </w:pPr>
          </w:p>
        </w:tc>
        <w:tc>
          <w:tcPr>
            <w:tcW w:w="630" w:type="dxa"/>
            <w:shd w:val="clear" w:color="auto" w:fill="auto"/>
          </w:tcPr>
          <w:p w14:paraId="0B5A001C" w14:textId="77777777" w:rsidR="000266D1" w:rsidRPr="00797423" w:rsidRDefault="000266D1" w:rsidP="000266D1">
            <w:pPr>
              <w:pStyle w:val="TableText0"/>
            </w:pPr>
          </w:p>
        </w:tc>
        <w:tc>
          <w:tcPr>
            <w:tcW w:w="630" w:type="dxa"/>
            <w:shd w:val="clear" w:color="auto" w:fill="auto"/>
          </w:tcPr>
          <w:p w14:paraId="16C2E31A" w14:textId="77777777" w:rsidR="000266D1" w:rsidRPr="00797423" w:rsidRDefault="000266D1" w:rsidP="000266D1">
            <w:pPr>
              <w:pStyle w:val="TableText0"/>
            </w:pPr>
          </w:p>
        </w:tc>
        <w:tc>
          <w:tcPr>
            <w:tcW w:w="720" w:type="dxa"/>
            <w:vMerge w:val="restart"/>
            <w:shd w:val="clear" w:color="auto" w:fill="auto"/>
          </w:tcPr>
          <w:p w14:paraId="4D8F2760" w14:textId="77777777" w:rsidR="000266D1" w:rsidRPr="00797423" w:rsidRDefault="000266D1" w:rsidP="000266D1">
            <w:pPr>
              <w:pStyle w:val="TableText0"/>
            </w:pPr>
          </w:p>
        </w:tc>
      </w:tr>
      <w:tr w:rsidR="000266D1" w:rsidRPr="00797423" w14:paraId="31662FDC" w14:textId="77777777" w:rsidTr="000266D1">
        <w:trPr>
          <w:trHeight w:val="279"/>
        </w:trPr>
        <w:tc>
          <w:tcPr>
            <w:tcW w:w="1530" w:type="dxa"/>
            <w:vMerge/>
            <w:tcBorders>
              <w:bottom w:val="single" w:sz="4" w:space="0" w:color="auto"/>
            </w:tcBorders>
            <w:shd w:val="clear" w:color="auto" w:fill="auto"/>
          </w:tcPr>
          <w:p w14:paraId="2B14C0F3" w14:textId="77777777" w:rsidR="000266D1" w:rsidRPr="00797423" w:rsidRDefault="000266D1" w:rsidP="000266D1">
            <w:pPr>
              <w:pStyle w:val="TableText0"/>
            </w:pPr>
          </w:p>
        </w:tc>
        <w:tc>
          <w:tcPr>
            <w:tcW w:w="450" w:type="dxa"/>
            <w:tcBorders>
              <w:bottom w:val="single" w:sz="4" w:space="0" w:color="auto"/>
            </w:tcBorders>
            <w:shd w:val="clear" w:color="auto" w:fill="auto"/>
          </w:tcPr>
          <w:p w14:paraId="563AFAAD" w14:textId="77777777" w:rsidR="000266D1" w:rsidRPr="00797423" w:rsidRDefault="000266D1" w:rsidP="000266D1">
            <w:pPr>
              <w:pStyle w:val="TableText0"/>
            </w:pPr>
          </w:p>
        </w:tc>
        <w:tc>
          <w:tcPr>
            <w:tcW w:w="827" w:type="dxa"/>
            <w:tcBorders>
              <w:bottom w:val="single" w:sz="4" w:space="0" w:color="auto"/>
            </w:tcBorders>
            <w:shd w:val="clear" w:color="auto" w:fill="auto"/>
            <w:vAlign w:val="center"/>
          </w:tcPr>
          <w:p w14:paraId="2FAF94DE" w14:textId="24A3DA46" w:rsidR="000266D1" w:rsidRPr="00994B0D" w:rsidRDefault="000266D1" w:rsidP="000266D1">
            <w:pPr>
              <w:pStyle w:val="TableText0"/>
            </w:pPr>
            <w:r w:rsidRPr="00994B0D">
              <w:rPr>
                <w:b/>
              </w:rPr>
              <w:t xml:space="preserve">R </w:t>
            </w:r>
            <w:r>
              <w:rPr>
                <w:b/>
              </w:rPr>
              <w:t>×</w:t>
            </w:r>
            <w:r w:rsidRPr="00994B0D">
              <w:rPr>
                <w:b/>
              </w:rPr>
              <w:t xml:space="preserve"> W = 6</w:t>
            </w:r>
          </w:p>
        </w:tc>
        <w:tc>
          <w:tcPr>
            <w:tcW w:w="703" w:type="dxa"/>
            <w:tcBorders>
              <w:bottom w:val="single" w:sz="4" w:space="0" w:color="auto"/>
            </w:tcBorders>
            <w:shd w:val="clear" w:color="auto" w:fill="auto"/>
          </w:tcPr>
          <w:p w14:paraId="7DEED034" w14:textId="77777777" w:rsidR="000266D1" w:rsidRPr="00797423" w:rsidRDefault="000266D1" w:rsidP="000266D1">
            <w:pPr>
              <w:pStyle w:val="TableText0"/>
            </w:pPr>
          </w:p>
        </w:tc>
        <w:tc>
          <w:tcPr>
            <w:tcW w:w="630" w:type="dxa"/>
            <w:tcBorders>
              <w:bottom w:val="single" w:sz="4" w:space="0" w:color="auto"/>
            </w:tcBorders>
            <w:shd w:val="clear" w:color="auto" w:fill="auto"/>
          </w:tcPr>
          <w:p w14:paraId="4DB646A3" w14:textId="77777777" w:rsidR="000266D1" w:rsidRPr="00797423" w:rsidRDefault="000266D1" w:rsidP="000266D1">
            <w:pPr>
              <w:pStyle w:val="TableText0"/>
            </w:pPr>
          </w:p>
        </w:tc>
        <w:tc>
          <w:tcPr>
            <w:tcW w:w="540" w:type="dxa"/>
            <w:tcBorders>
              <w:bottom w:val="single" w:sz="4" w:space="0" w:color="auto"/>
            </w:tcBorders>
            <w:shd w:val="clear" w:color="auto" w:fill="auto"/>
          </w:tcPr>
          <w:p w14:paraId="64C0BCB2" w14:textId="77777777" w:rsidR="000266D1" w:rsidRPr="00797423" w:rsidRDefault="000266D1" w:rsidP="000266D1">
            <w:pPr>
              <w:pStyle w:val="TableText0"/>
            </w:pPr>
          </w:p>
        </w:tc>
        <w:tc>
          <w:tcPr>
            <w:tcW w:w="540" w:type="dxa"/>
            <w:tcBorders>
              <w:bottom w:val="single" w:sz="4" w:space="0" w:color="auto"/>
            </w:tcBorders>
            <w:shd w:val="clear" w:color="auto" w:fill="auto"/>
          </w:tcPr>
          <w:p w14:paraId="5113DE91" w14:textId="77777777" w:rsidR="000266D1" w:rsidRPr="00797423" w:rsidRDefault="000266D1" w:rsidP="000266D1">
            <w:pPr>
              <w:pStyle w:val="TableText0"/>
            </w:pPr>
          </w:p>
        </w:tc>
        <w:tc>
          <w:tcPr>
            <w:tcW w:w="540" w:type="dxa"/>
            <w:tcBorders>
              <w:bottom w:val="single" w:sz="4" w:space="0" w:color="auto"/>
            </w:tcBorders>
            <w:shd w:val="clear" w:color="auto" w:fill="auto"/>
          </w:tcPr>
          <w:p w14:paraId="024E3BB8" w14:textId="77777777" w:rsidR="000266D1" w:rsidRPr="00797423" w:rsidRDefault="000266D1" w:rsidP="000266D1">
            <w:pPr>
              <w:pStyle w:val="TableText0"/>
            </w:pPr>
          </w:p>
        </w:tc>
        <w:tc>
          <w:tcPr>
            <w:tcW w:w="630" w:type="dxa"/>
            <w:tcBorders>
              <w:bottom w:val="single" w:sz="4" w:space="0" w:color="auto"/>
            </w:tcBorders>
            <w:shd w:val="clear" w:color="auto" w:fill="auto"/>
          </w:tcPr>
          <w:p w14:paraId="0E55A98F" w14:textId="77777777" w:rsidR="000266D1" w:rsidRPr="00797423" w:rsidRDefault="000266D1" w:rsidP="000266D1">
            <w:pPr>
              <w:pStyle w:val="TableText0"/>
            </w:pPr>
          </w:p>
        </w:tc>
        <w:tc>
          <w:tcPr>
            <w:tcW w:w="630" w:type="dxa"/>
            <w:tcBorders>
              <w:bottom w:val="single" w:sz="4" w:space="0" w:color="auto"/>
            </w:tcBorders>
            <w:shd w:val="clear" w:color="auto" w:fill="auto"/>
          </w:tcPr>
          <w:p w14:paraId="075690C5" w14:textId="77777777" w:rsidR="000266D1" w:rsidRPr="00797423" w:rsidRDefault="000266D1" w:rsidP="000266D1">
            <w:pPr>
              <w:pStyle w:val="TableText0"/>
            </w:pPr>
          </w:p>
        </w:tc>
        <w:tc>
          <w:tcPr>
            <w:tcW w:w="630" w:type="dxa"/>
            <w:tcBorders>
              <w:bottom w:val="single" w:sz="4" w:space="0" w:color="auto"/>
            </w:tcBorders>
            <w:shd w:val="clear" w:color="auto" w:fill="auto"/>
          </w:tcPr>
          <w:p w14:paraId="1EFC9A6E" w14:textId="77777777" w:rsidR="000266D1" w:rsidRPr="00797423" w:rsidRDefault="000266D1" w:rsidP="000266D1">
            <w:pPr>
              <w:pStyle w:val="TableText0"/>
            </w:pPr>
          </w:p>
        </w:tc>
        <w:tc>
          <w:tcPr>
            <w:tcW w:w="630" w:type="dxa"/>
            <w:tcBorders>
              <w:bottom w:val="single" w:sz="4" w:space="0" w:color="auto"/>
            </w:tcBorders>
            <w:shd w:val="clear" w:color="auto" w:fill="auto"/>
          </w:tcPr>
          <w:p w14:paraId="5BBD1EAA" w14:textId="77777777" w:rsidR="000266D1" w:rsidRPr="00797423" w:rsidRDefault="000266D1" w:rsidP="000266D1">
            <w:pPr>
              <w:pStyle w:val="TableText0"/>
            </w:pPr>
          </w:p>
        </w:tc>
        <w:tc>
          <w:tcPr>
            <w:tcW w:w="720" w:type="dxa"/>
            <w:vMerge/>
            <w:tcBorders>
              <w:bottom w:val="single" w:sz="4" w:space="0" w:color="auto"/>
            </w:tcBorders>
            <w:shd w:val="clear" w:color="auto" w:fill="auto"/>
          </w:tcPr>
          <w:p w14:paraId="014E3C26" w14:textId="77777777" w:rsidR="000266D1" w:rsidRPr="00797423" w:rsidRDefault="000266D1" w:rsidP="000266D1">
            <w:pPr>
              <w:pStyle w:val="TableText0"/>
            </w:pPr>
          </w:p>
        </w:tc>
      </w:tr>
    </w:tbl>
    <w:p w14:paraId="3846CB4A" w14:textId="77777777" w:rsidR="000266D1" w:rsidRDefault="000266D1" w:rsidP="000266D1">
      <w:pPr>
        <w:pStyle w:val="TFAbbrevs"/>
      </w:pPr>
      <w:r>
        <w:t>R = ranking; W = weighting</w:t>
      </w:r>
    </w:p>
    <w:p w14:paraId="0EF195FD" w14:textId="77777777" w:rsidR="000266D1" w:rsidRDefault="000266D1" w:rsidP="000266D1">
      <w:pPr>
        <w:pStyle w:val="TFListNotesSpace"/>
      </w:pPr>
      <w:r>
        <w:t>Note: Factors, weighting and rankings are examples only.</w:t>
      </w:r>
    </w:p>
    <w:p w14:paraId="6513BA56" w14:textId="77777777" w:rsidR="000266D1" w:rsidRDefault="000266D1" w:rsidP="000266D1">
      <w:pPr>
        <w:spacing w:after="160" w:line="259" w:lineRule="auto"/>
        <w:rPr>
          <w:rFonts w:ascii="Times New Roman Bold" w:hAnsi="Times New Roman Bold"/>
          <w:b/>
          <w:bCs/>
          <w:sz w:val="22"/>
          <w:szCs w:val="21"/>
        </w:rPr>
      </w:pPr>
      <w:r>
        <w:br w:type="page"/>
      </w:r>
    </w:p>
    <w:p w14:paraId="40E0749F" w14:textId="726F3643" w:rsidR="000266D1" w:rsidRDefault="000266D1" w:rsidP="000266D1">
      <w:pPr>
        <w:pStyle w:val="Heading2a"/>
      </w:pPr>
      <w:r>
        <w:t>Guidelines for completing a</w:t>
      </w:r>
      <w:r w:rsidRPr="00520A2D">
        <w:t xml:space="preserve">ppreciation </w:t>
      </w:r>
      <w:r>
        <w:t>t</w:t>
      </w:r>
      <w:r w:rsidRPr="00520A2D">
        <w:t>able</w:t>
      </w:r>
    </w:p>
    <w:p w14:paraId="7DE6C981" w14:textId="77777777" w:rsidR="000266D1" w:rsidRDefault="000266D1" w:rsidP="000266D1">
      <w:pPr>
        <w:pStyle w:val="Heading3a"/>
      </w:pPr>
      <w:r>
        <w:t>Factors</w:t>
      </w:r>
    </w:p>
    <w:p w14:paraId="19CD6096" w14:textId="77777777" w:rsidR="000266D1" w:rsidRPr="000E2F6D" w:rsidRDefault="000266D1" w:rsidP="000266D1">
      <w:r w:rsidRPr="000E2F6D">
        <w:t xml:space="preserve">Text </w:t>
      </w:r>
      <w:r>
        <w:t xml:space="preserve">or numerical information </w:t>
      </w:r>
      <w:r w:rsidRPr="000E2F6D">
        <w:t>describe</w:t>
      </w:r>
      <w:r>
        <w:t>s</w:t>
      </w:r>
      <w:r w:rsidRPr="000E2F6D">
        <w:t xml:space="preserve"> each </w:t>
      </w:r>
      <w:r>
        <w:t>f</w:t>
      </w:r>
      <w:r w:rsidRPr="000E2F6D">
        <w:t>actor in association with the option</w:t>
      </w:r>
      <w:r>
        <w:t xml:space="preserve"> (eg </w:t>
      </w:r>
      <w:r w:rsidRPr="000E2F6D">
        <w:t>3</w:t>
      </w:r>
      <w:r>
        <w:t> </w:t>
      </w:r>
      <w:r w:rsidRPr="000E2F6D">
        <w:t>days of fine weather</w:t>
      </w:r>
      <w:r>
        <w:t>)</w:t>
      </w:r>
      <w:r w:rsidRPr="000E2F6D">
        <w:t>.</w:t>
      </w:r>
    </w:p>
    <w:p w14:paraId="76FF2498" w14:textId="77777777" w:rsidR="000266D1" w:rsidRDefault="000266D1" w:rsidP="000266D1">
      <w:pPr>
        <w:pStyle w:val="Heading3a"/>
      </w:pPr>
      <w:r w:rsidRPr="000E2F6D">
        <w:t xml:space="preserve">Weighting (W) </w:t>
      </w:r>
    </w:p>
    <w:p w14:paraId="352BCDB6" w14:textId="77777777" w:rsidR="000266D1" w:rsidRPr="000E2F6D" w:rsidRDefault="000266D1" w:rsidP="000266D1">
      <w:r>
        <w:t>E</w:t>
      </w:r>
      <w:r w:rsidRPr="000E2F6D">
        <w:t xml:space="preserve">ach </w:t>
      </w:r>
      <w:r>
        <w:t>f</w:t>
      </w:r>
      <w:r w:rsidRPr="000E2F6D">
        <w:t>actor is weigh</w:t>
      </w:r>
      <w:r>
        <w:t>t</w:t>
      </w:r>
      <w:r w:rsidRPr="000E2F6D">
        <w:t xml:space="preserve">ed. </w:t>
      </w:r>
    </w:p>
    <w:p w14:paraId="6C7F8792" w14:textId="77777777" w:rsidR="000266D1" w:rsidRDefault="000266D1" w:rsidP="000266D1">
      <w:r>
        <w:t>The w</w:t>
      </w:r>
      <w:r w:rsidRPr="000E2F6D">
        <w:t xml:space="preserve">eighting score can be 1, 2 </w:t>
      </w:r>
      <w:r>
        <w:t>or</w:t>
      </w:r>
      <w:r w:rsidRPr="000E2F6D">
        <w:t xml:space="preserve"> 3, where 1 is least important and 3 most important.</w:t>
      </w:r>
    </w:p>
    <w:p w14:paraId="7380DEAD" w14:textId="77777777" w:rsidR="000266D1" w:rsidRDefault="000266D1" w:rsidP="000266D1">
      <w:r w:rsidRPr="000E2F6D">
        <w:t xml:space="preserve">There can be more than </w:t>
      </w:r>
      <w:r>
        <w:t>one</w:t>
      </w:r>
      <w:r w:rsidRPr="000E2F6D">
        <w:t xml:space="preserve"> factor with </w:t>
      </w:r>
      <w:r>
        <w:t xml:space="preserve">the </w:t>
      </w:r>
      <w:r w:rsidRPr="000E2F6D">
        <w:t>same weighting value</w:t>
      </w:r>
      <w:r>
        <w:t>.</w:t>
      </w:r>
    </w:p>
    <w:p w14:paraId="31EB8F9B" w14:textId="77777777" w:rsidR="000266D1" w:rsidRDefault="000266D1" w:rsidP="000266D1">
      <w:pPr>
        <w:pStyle w:val="Heading3a"/>
      </w:pPr>
      <w:r>
        <w:t>Options</w:t>
      </w:r>
    </w:p>
    <w:p w14:paraId="34F0F16B" w14:textId="77777777" w:rsidR="000266D1" w:rsidRPr="000E2F6D" w:rsidRDefault="000266D1" w:rsidP="000266D1">
      <w:r w:rsidRPr="000E2F6D">
        <w:t xml:space="preserve">Can include a </w:t>
      </w:r>
      <w:r>
        <w:t>‘</w:t>
      </w:r>
      <w:r w:rsidRPr="000E2F6D">
        <w:t>no action</w:t>
      </w:r>
      <w:r>
        <w:t>’</w:t>
      </w:r>
      <w:r w:rsidRPr="000E2F6D">
        <w:t xml:space="preserve"> option as a control. </w:t>
      </w:r>
    </w:p>
    <w:p w14:paraId="1A6A73FC" w14:textId="77777777" w:rsidR="000266D1" w:rsidRDefault="000266D1" w:rsidP="000266D1">
      <w:r w:rsidRPr="000E2F6D">
        <w:t xml:space="preserve">Options may be a variation on a single option </w:t>
      </w:r>
      <w:r>
        <w:t>(</w:t>
      </w:r>
      <w:r w:rsidRPr="000E2F6D">
        <w:t>eg</w:t>
      </w:r>
      <w:r>
        <w:t> </w:t>
      </w:r>
      <w:r w:rsidRPr="000E2F6D">
        <w:t xml:space="preserve">there may be more than </w:t>
      </w:r>
      <w:r>
        <w:t>one</w:t>
      </w:r>
      <w:r w:rsidRPr="000E2F6D">
        <w:t xml:space="preserve"> indirect option</w:t>
      </w:r>
      <w:r>
        <w:t>).</w:t>
      </w:r>
    </w:p>
    <w:p w14:paraId="00F0436C" w14:textId="77777777" w:rsidR="000266D1" w:rsidRPr="000E2F6D" w:rsidRDefault="000266D1" w:rsidP="000266D1">
      <w:pPr>
        <w:pStyle w:val="Heading3a"/>
      </w:pPr>
      <w:r w:rsidRPr="000E2F6D">
        <w:t>Ranking (R)</w:t>
      </w:r>
    </w:p>
    <w:p w14:paraId="1C57348B" w14:textId="77777777" w:rsidR="000266D1" w:rsidRPr="000E2F6D" w:rsidRDefault="000266D1" w:rsidP="000266D1">
      <w:r w:rsidRPr="000E2F6D">
        <w:t xml:space="preserve">Each option is ranked from lowest to highest </w:t>
      </w:r>
      <w:r>
        <w:t>(</w:t>
      </w:r>
      <w:r w:rsidRPr="000E2F6D">
        <w:t>numerical</w:t>
      </w:r>
      <w:r>
        <w:t>)</w:t>
      </w:r>
      <w:r w:rsidRPr="000E2F6D">
        <w:t>.</w:t>
      </w:r>
    </w:p>
    <w:p w14:paraId="588775B6" w14:textId="77777777" w:rsidR="000266D1" w:rsidRPr="000E2F6D" w:rsidRDefault="000266D1" w:rsidP="000266D1">
      <w:r w:rsidRPr="000E2F6D">
        <w:t>The ranking is separately done for each option</w:t>
      </w:r>
      <w:r>
        <w:t>–</w:t>
      </w:r>
      <w:r w:rsidRPr="000E2F6D">
        <w:t xml:space="preserve">factor combination. The ranking is repeated for each </w:t>
      </w:r>
      <w:r>
        <w:t>o</w:t>
      </w:r>
      <w:r w:rsidRPr="000E2F6D">
        <w:t>ption.</w:t>
      </w:r>
    </w:p>
    <w:p w14:paraId="5FBBBBD1" w14:textId="77777777" w:rsidR="000266D1" w:rsidRPr="000E2F6D" w:rsidRDefault="000266D1" w:rsidP="000266D1">
      <w:r w:rsidRPr="000E2F6D">
        <w:t xml:space="preserve">Lowest </w:t>
      </w:r>
      <w:r>
        <w:t xml:space="preserve">ranking </w:t>
      </w:r>
      <w:r w:rsidRPr="000E2F6D">
        <w:t xml:space="preserve">= least acceptable </w:t>
      </w:r>
      <w:r>
        <w:t xml:space="preserve">or </w:t>
      </w:r>
      <w:r w:rsidRPr="000E2F6D">
        <w:t>preferable</w:t>
      </w:r>
      <w:r>
        <w:t>.</w:t>
      </w:r>
    </w:p>
    <w:p w14:paraId="40212A5A" w14:textId="77777777" w:rsidR="000266D1" w:rsidRPr="000E2F6D" w:rsidRDefault="000266D1" w:rsidP="000266D1">
      <w:r w:rsidRPr="000E2F6D">
        <w:t xml:space="preserve">Highest </w:t>
      </w:r>
      <w:r>
        <w:t xml:space="preserve">ranking </w:t>
      </w:r>
      <w:r w:rsidRPr="000E2F6D">
        <w:t xml:space="preserve">= most acceptable </w:t>
      </w:r>
      <w:r>
        <w:t>or</w:t>
      </w:r>
      <w:r w:rsidRPr="000E2F6D">
        <w:t xml:space="preserve"> preferable</w:t>
      </w:r>
      <w:r>
        <w:t>.</w:t>
      </w:r>
    </w:p>
    <w:p w14:paraId="536287F9" w14:textId="77777777" w:rsidR="000266D1" w:rsidRDefault="000266D1" w:rsidP="000266D1">
      <w:r w:rsidRPr="000E2F6D">
        <w:t>Each rank numerical value is only used once</w:t>
      </w:r>
      <w:r>
        <w:t xml:space="preserve">. For example, </w:t>
      </w:r>
      <w:r w:rsidRPr="000E2F6D">
        <w:t xml:space="preserve">if there are </w:t>
      </w:r>
      <w:r>
        <w:t>three</w:t>
      </w:r>
      <w:r w:rsidRPr="000E2F6D">
        <w:t xml:space="preserve"> options</w:t>
      </w:r>
      <w:r>
        <w:t xml:space="preserve">, </w:t>
      </w:r>
      <w:r w:rsidRPr="000E2F6D">
        <w:t xml:space="preserve">one option is scored 1, </w:t>
      </w:r>
      <w:r>
        <w:t>the</w:t>
      </w:r>
      <w:r w:rsidRPr="000E2F6D">
        <w:t xml:space="preserve"> second 2 and the third 3.</w:t>
      </w:r>
    </w:p>
    <w:p w14:paraId="06074E07" w14:textId="77777777" w:rsidR="000266D1" w:rsidRDefault="000266D1" w:rsidP="000266D1">
      <w:pPr>
        <w:pStyle w:val="Heading3a"/>
      </w:pPr>
      <w:r>
        <w:t>R</w:t>
      </w:r>
      <w:r w:rsidRPr="000E2F6D">
        <w:t>ating for the factor against the option</w:t>
      </w:r>
    </w:p>
    <w:p w14:paraId="61490B9A" w14:textId="77777777" w:rsidR="000266D1" w:rsidRPr="000E2F6D" w:rsidRDefault="000266D1" w:rsidP="000266D1">
      <w:r w:rsidRPr="00797423">
        <w:t xml:space="preserve">Rating = R </w:t>
      </w:r>
      <w:r>
        <w:t>×</w:t>
      </w:r>
      <w:r w:rsidRPr="00797423">
        <w:t xml:space="preserve"> W</w:t>
      </w:r>
    </w:p>
    <w:p w14:paraId="4A4F0177" w14:textId="77777777" w:rsidR="000266D1" w:rsidRDefault="000266D1" w:rsidP="000266D1">
      <w:pPr>
        <w:pStyle w:val="Heading3a"/>
      </w:pPr>
      <w:r>
        <w:t>Option total</w:t>
      </w:r>
    </w:p>
    <w:p w14:paraId="53F808FF" w14:textId="77777777" w:rsidR="000266D1" w:rsidRPr="000E2F6D" w:rsidRDefault="000266D1" w:rsidP="000266D1">
      <w:r w:rsidRPr="000E2F6D">
        <w:t>The total for each option is the sum of the ratings for the given option.</w:t>
      </w:r>
    </w:p>
    <w:p w14:paraId="6D7E0583" w14:textId="77777777" w:rsidR="000266D1" w:rsidRPr="000E2F6D" w:rsidRDefault="000266D1" w:rsidP="000266D1">
      <w:r>
        <w:t>F</w:t>
      </w:r>
      <w:r w:rsidRPr="000E2F6D">
        <w:t xml:space="preserve">inal option score = sum of ratings (R </w:t>
      </w:r>
      <w:r>
        <w:t>×</w:t>
      </w:r>
      <w:r w:rsidRPr="000E2F6D">
        <w:t xml:space="preserve"> W</w:t>
      </w:r>
      <w:r>
        <w:t xml:space="preserve">) </w:t>
      </w:r>
      <w:r w:rsidRPr="000E2F6D">
        <w:t>for the option</w:t>
      </w:r>
      <w:r>
        <w:t>.</w:t>
      </w:r>
    </w:p>
    <w:p w14:paraId="16A65B7E" w14:textId="77777777" w:rsidR="000266D1" w:rsidRPr="000E2F6D" w:rsidRDefault="000266D1" w:rsidP="000266D1">
      <w:r w:rsidRPr="000E2F6D">
        <w:t>Theoretically</w:t>
      </w:r>
      <w:r>
        <w:t>,</w:t>
      </w:r>
      <w:r w:rsidRPr="000E2F6D">
        <w:t xml:space="preserve"> the option with the highest </w:t>
      </w:r>
      <w:r>
        <w:t>t</w:t>
      </w:r>
      <w:r w:rsidRPr="000E2F6D">
        <w:t xml:space="preserve">otal is the </w:t>
      </w:r>
      <w:r>
        <w:t>‘</w:t>
      </w:r>
      <w:r w:rsidRPr="000E2F6D">
        <w:t>best</w:t>
      </w:r>
      <w:r>
        <w:t>’</w:t>
      </w:r>
      <w:r w:rsidRPr="000E2F6D">
        <w:t xml:space="preserve"> option</w:t>
      </w:r>
      <w:r>
        <w:t>.</w:t>
      </w:r>
    </w:p>
    <w:p w14:paraId="12199DF0" w14:textId="6D79F805" w:rsidR="000266D1" w:rsidRPr="00F12450" w:rsidDel="001D2042" w:rsidRDefault="000266D1" w:rsidP="000266D1">
      <w:pPr>
        <w:pStyle w:val="Heading1"/>
      </w:pPr>
      <w:bookmarkStart w:id="119" w:name="_Toc529783800"/>
      <w:bookmarkStart w:id="120" w:name="_Hlk508712430"/>
      <w:r>
        <w:t>Appendix 4</w:t>
      </w:r>
      <w:r>
        <w:tab/>
      </w:r>
      <w:r w:rsidRPr="00F12450" w:rsidDel="001D2042">
        <w:t xml:space="preserve">Strategic </w:t>
      </w:r>
      <w:r>
        <w:t>r</w:t>
      </w:r>
      <w:r w:rsidRPr="00F12450" w:rsidDel="001D2042">
        <w:t xml:space="preserve">isk </w:t>
      </w:r>
      <w:r>
        <w:t>a</w:t>
      </w:r>
      <w:r w:rsidRPr="00F12450" w:rsidDel="001D2042">
        <w:t>ssessment template and guidelines</w:t>
      </w:r>
      <w:bookmarkEnd w:id="119"/>
    </w:p>
    <w:bookmarkEnd w:id="120"/>
    <w:p w14:paraId="7BCCB250" w14:textId="7B2CC43C" w:rsidR="000266D1" w:rsidRPr="00520A2D" w:rsidRDefault="000266D1" w:rsidP="000266D1">
      <w:pPr>
        <w:pStyle w:val="Heading2a"/>
      </w:pPr>
      <w:r w:rsidRPr="00520A2D">
        <w:t xml:space="preserve">Considerations </w:t>
      </w:r>
      <w:r>
        <w:t xml:space="preserve">for </w:t>
      </w:r>
      <w:r w:rsidRPr="00520A2D">
        <w:t xml:space="preserve">transforming the </w:t>
      </w:r>
      <w:r>
        <w:t>template</w:t>
      </w:r>
      <w:r w:rsidRPr="00520A2D">
        <w:t xml:space="preserve"> into a risk assessment</w:t>
      </w:r>
    </w:p>
    <w:p w14:paraId="76E194C1" w14:textId="3E3E7270" w:rsidR="000266D1" w:rsidRPr="00465F14" w:rsidRDefault="000266D1" w:rsidP="000266D1">
      <w:pPr>
        <w:pStyle w:val="Bullet"/>
      </w:pPr>
      <w:r>
        <w:t>Appropriately t</w:t>
      </w:r>
      <w:r w:rsidRPr="00465F14">
        <w:t>rained</w:t>
      </w:r>
      <w:r>
        <w:t xml:space="preserve"> and </w:t>
      </w:r>
      <w:r w:rsidRPr="00465F14">
        <w:t xml:space="preserve">qualified personnel should transform the template into a </w:t>
      </w:r>
      <w:r>
        <w:t>s</w:t>
      </w:r>
      <w:r w:rsidRPr="00465F14">
        <w:t xml:space="preserve">trategic </w:t>
      </w:r>
      <w:r>
        <w:t>r</w:t>
      </w:r>
      <w:r w:rsidRPr="00465F14">
        <w:t xml:space="preserve">isk </w:t>
      </w:r>
      <w:r>
        <w:t>a</w:t>
      </w:r>
      <w:r w:rsidRPr="00465F14">
        <w:t>ssessment</w:t>
      </w:r>
      <w:r>
        <w:t>.</w:t>
      </w:r>
    </w:p>
    <w:p w14:paraId="4714AD51" w14:textId="77777777" w:rsidR="000266D1" w:rsidRPr="00465F14" w:rsidRDefault="000266D1" w:rsidP="000266D1">
      <w:pPr>
        <w:pStyle w:val="Bullet"/>
      </w:pPr>
      <w:r w:rsidRPr="00465F14">
        <w:t>Be very clear on the response context</w:t>
      </w:r>
      <w:r>
        <w:t xml:space="preserve"> before starting the assessment.</w:t>
      </w:r>
    </w:p>
    <w:p w14:paraId="7F49EA58" w14:textId="77777777" w:rsidR="000266D1" w:rsidRPr="00465F14" w:rsidRDefault="000266D1" w:rsidP="000266D1">
      <w:pPr>
        <w:pStyle w:val="Bullet"/>
      </w:pPr>
      <w:r w:rsidRPr="00465F14">
        <w:t xml:space="preserve">Aim and objectives for </w:t>
      </w:r>
      <w:r>
        <w:t xml:space="preserve">the </w:t>
      </w:r>
      <w:r w:rsidRPr="00465F14">
        <w:t>response should be well described and understood</w:t>
      </w:r>
      <w:r>
        <w:t>.</w:t>
      </w:r>
    </w:p>
    <w:p w14:paraId="51B01DB7" w14:textId="0A234C4B" w:rsidR="000266D1" w:rsidRPr="00465F14" w:rsidRDefault="000266D1" w:rsidP="000266D1">
      <w:pPr>
        <w:pStyle w:val="Bullet"/>
      </w:pPr>
      <w:r w:rsidRPr="00465F14">
        <w:t xml:space="preserve">Each </w:t>
      </w:r>
      <w:r>
        <w:t xml:space="preserve">of the key risk categories </w:t>
      </w:r>
      <w:r w:rsidRPr="00465F14">
        <w:t xml:space="preserve">– </w:t>
      </w:r>
      <w:r>
        <w:t>political, environment, economic, social, technical, operations, legal (PEESTOL)</w:t>
      </w:r>
      <w:r w:rsidRPr="00996B5E">
        <w:t xml:space="preserve"> </w:t>
      </w:r>
      <w:r>
        <w:t xml:space="preserve">– </w:t>
      </w:r>
      <w:r w:rsidRPr="00465F14">
        <w:t>should be assessed</w:t>
      </w:r>
      <w:r>
        <w:t>.</w:t>
      </w:r>
    </w:p>
    <w:p w14:paraId="6C70D6F6" w14:textId="77777777" w:rsidR="000266D1" w:rsidRPr="00465F14" w:rsidRDefault="000266D1" w:rsidP="000266D1">
      <w:pPr>
        <w:pStyle w:val="Bullet"/>
      </w:pPr>
      <w:r w:rsidRPr="00465F14">
        <w:t xml:space="preserve">The specific strategic risks </w:t>
      </w:r>
      <w:r>
        <w:t xml:space="preserve">in the template </w:t>
      </w:r>
      <w:r w:rsidRPr="00465F14">
        <w:t>are indicative only. Each risk will need to be assessed for relevance to each response. The listed risks should not be considered the only risks for a response.</w:t>
      </w:r>
    </w:p>
    <w:p w14:paraId="3FF38145" w14:textId="1E4FFBE0" w:rsidR="000266D1" w:rsidRPr="00465F14" w:rsidRDefault="000266D1" w:rsidP="000266D1">
      <w:pPr>
        <w:pStyle w:val="Bullet"/>
      </w:pPr>
      <w:r>
        <w:t>C</w:t>
      </w:r>
      <w:r w:rsidRPr="00465F14">
        <w:t xml:space="preserve">ompletion of the </w:t>
      </w:r>
      <w:r>
        <w:t>r</w:t>
      </w:r>
      <w:r w:rsidRPr="00465F14">
        <w:t xml:space="preserve">isk </w:t>
      </w:r>
      <w:r>
        <w:t>r</w:t>
      </w:r>
      <w:r w:rsidRPr="00465F14">
        <w:t>ating should follow th</w:t>
      </w:r>
      <w:r w:rsidRPr="002207E2">
        <w:t>e Australian Standard for Risk Assessment</w:t>
      </w:r>
      <w:r w:rsidRPr="00465F14">
        <w:t xml:space="preserve"> and </w:t>
      </w:r>
      <w:r>
        <w:t>Animal Health Australia</w:t>
      </w:r>
      <w:r w:rsidRPr="00465F14">
        <w:t xml:space="preserve"> guidelines for risk assessment</w:t>
      </w:r>
      <w:r>
        <w:t>.</w:t>
      </w:r>
      <w:r>
        <w:rPr>
          <w:rStyle w:val="FootnoteReference"/>
        </w:rPr>
        <w:footnoteReference w:id="20"/>
      </w:r>
      <w:r>
        <w:t xml:space="preserve"> </w:t>
      </w:r>
    </w:p>
    <w:p w14:paraId="7BB30F1A" w14:textId="7D7E909F" w:rsidR="000266D1" w:rsidRPr="00465F14" w:rsidRDefault="000266D1" w:rsidP="000266D1">
      <w:pPr>
        <w:pStyle w:val="Bullet"/>
      </w:pPr>
      <w:r w:rsidRPr="00FC6630">
        <w:rPr>
          <w:bCs/>
        </w:rPr>
        <w:t>The treatments to reduce the risks are indicative only</w:t>
      </w:r>
      <w:r>
        <w:rPr>
          <w:bCs/>
        </w:rPr>
        <w:t>,</w:t>
      </w:r>
      <w:r w:rsidRPr="00FC6630">
        <w:rPr>
          <w:bCs/>
        </w:rPr>
        <w:t xml:space="preserve"> and will need to be contextualised to </w:t>
      </w:r>
      <w:r>
        <w:rPr>
          <w:bCs/>
        </w:rPr>
        <w:t>the</w:t>
      </w:r>
      <w:r w:rsidRPr="00465F14">
        <w:t xml:space="preserve"> response and the risks of the response.</w:t>
      </w:r>
      <w:r>
        <w:t xml:space="preserve"> The listed risks and treatments are not intended to be used a checklist.</w:t>
      </w:r>
    </w:p>
    <w:p w14:paraId="1F574CE3" w14:textId="45B7B821" w:rsidR="000266D1" w:rsidRPr="00465F14" w:rsidRDefault="000266D1" w:rsidP="000266D1">
      <w:pPr>
        <w:pStyle w:val="Bullet"/>
      </w:pPr>
      <w:r w:rsidRPr="00465F14">
        <w:t xml:space="preserve">The cell colour </w:t>
      </w:r>
      <w:r>
        <w:t>after</w:t>
      </w:r>
      <w:r w:rsidRPr="00465F14">
        <w:t xml:space="preserve"> treatment (green, amber, red) in the </w:t>
      </w:r>
      <w:r>
        <w:t>table is a reminder that this risk r</w:t>
      </w:r>
      <w:r w:rsidRPr="00465F14">
        <w:t xml:space="preserve">ating must be completed </w:t>
      </w:r>
      <w:r>
        <w:t>after</w:t>
      </w:r>
      <w:r w:rsidRPr="00465F14">
        <w:t xml:space="preserve"> application of </w:t>
      </w:r>
      <w:r>
        <w:t xml:space="preserve">the </w:t>
      </w:r>
      <w:r w:rsidRPr="00465F14">
        <w:t>proposed treatmen</w:t>
      </w:r>
      <w:r>
        <w:t>t</w:t>
      </w:r>
      <w:r w:rsidRPr="00465F14">
        <w:t>. Each colour must be assessed for each risk in each response. The colours as presented in the table are not intended to indicat</w:t>
      </w:r>
      <w:r>
        <w:t>e</w:t>
      </w:r>
      <w:r w:rsidRPr="00465F14">
        <w:t xml:space="preserve"> the risk rating </w:t>
      </w:r>
      <w:r>
        <w:t>after</w:t>
      </w:r>
      <w:r w:rsidRPr="00465F14">
        <w:t xml:space="preserve"> treatment. </w:t>
      </w:r>
    </w:p>
    <w:p w14:paraId="732D5E47" w14:textId="30F5C0F9" w:rsidR="000266D1" w:rsidRDefault="000266D1" w:rsidP="000266D1">
      <w:pPr>
        <w:pStyle w:val="BulletLast"/>
      </w:pPr>
      <w:r w:rsidRPr="00465F14">
        <w:t>Risks with a high</w:t>
      </w:r>
      <w:r>
        <w:t xml:space="preserve"> </w:t>
      </w:r>
      <w:r w:rsidRPr="00465F14">
        <w:t xml:space="preserve">risk rating are likely to a </w:t>
      </w:r>
      <w:r>
        <w:t>f</w:t>
      </w:r>
      <w:r w:rsidRPr="00465F14">
        <w:t xml:space="preserve">actor </w:t>
      </w:r>
      <w:r>
        <w:t xml:space="preserve">(critical factor) </w:t>
      </w:r>
      <w:r w:rsidRPr="00465F14">
        <w:t xml:space="preserve">in one or more strategic appreciations for a response </w:t>
      </w:r>
      <w:r>
        <w:t>(</w:t>
      </w:r>
      <w:r w:rsidRPr="00465F14">
        <w:t>eg</w:t>
      </w:r>
      <w:r>
        <w:t> </w:t>
      </w:r>
      <w:r w:rsidRPr="00465F14">
        <w:t>selection of strategy or tactics)</w:t>
      </w:r>
      <w:r>
        <w:t>.</w:t>
      </w:r>
    </w:p>
    <w:p w14:paraId="2E86C461" w14:textId="5129287A" w:rsidR="000266D1" w:rsidRDefault="000266D1" w:rsidP="000266D1">
      <w:r>
        <w:t>The following template</w:t>
      </w:r>
      <w:r w:rsidRPr="00AF2740">
        <w:t xml:space="preserve"> format </w:t>
      </w:r>
      <w:r>
        <w:t>is</w:t>
      </w:r>
      <w:r w:rsidRPr="00AF2740">
        <w:t xml:space="preserve"> used by </w:t>
      </w:r>
      <w:r>
        <w:t xml:space="preserve">New South Wales, the Northern Territory, </w:t>
      </w:r>
      <w:r w:rsidRPr="00AF2740">
        <w:t>Vic</w:t>
      </w:r>
      <w:r>
        <w:t xml:space="preserve">toria and Western Australia </w:t>
      </w:r>
      <w:r w:rsidRPr="00AF2740">
        <w:t>in various forms</w:t>
      </w:r>
      <w:r>
        <w:t>.</w:t>
      </w:r>
    </w:p>
    <w:p w14:paraId="33029EFF" w14:textId="4DC9E2B6" w:rsidR="00077C43" w:rsidRDefault="00077C43" w:rsidP="00077C43">
      <w:pPr>
        <w:pStyle w:val="TableName"/>
      </w:pPr>
      <w:bookmarkStart w:id="121" w:name="_Toc527712885"/>
      <w:r>
        <w:t>Table A4.1</w:t>
      </w:r>
      <w:r>
        <w:tab/>
        <w:t>Strategic risk assessment register</w:t>
      </w:r>
      <w:bookmarkEnd w:id="121"/>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993"/>
        <w:gridCol w:w="992"/>
        <w:gridCol w:w="1701"/>
        <w:gridCol w:w="3402"/>
      </w:tblGrid>
      <w:tr w:rsidR="000266D1" w:rsidRPr="00CE2878" w14:paraId="4FC6132E" w14:textId="77777777" w:rsidTr="004E4C48">
        <w:trPr>
          <w:cantSplit/>
          <w:trHeight w:val="1408"/>
        </w:trPr>
        <w:tc>
          <w:tcPr>
            <w:tcW w:w="2376" w:type="dxa"/>
            <w:vMerge w:val="restart"/>
            <w:shd w:val="clear" w:color="auto" w:fill="auto"/>
          </w:tcPr>
          <w:p w14:paraId="10C0F558" w14:textId="77777777" w:rsidR="000266D1" w:rsidRPr="00E9128B" w:rsidRDefault="000266D1" w:rsidP="000266D1">
            <w:pPr>
              <w:pStyle w:val="TableHeading"/>
              <w:rPr>
                <w:szCs w:val="24"/>
              </w:rPr>
            </w:pPr>
            <w:r w:rsidRPr="00E9128B">
              <w:t>Specific strategic risk</w:t>
            </w:r>
          </w:p>
        </w:tc>
        <w:tc>
          <w:tcPr>
            <w:tcW w:w="993" w:type="dxa"/>
            <w:shd w:val="clear" w:color="auto" w:fill="auto"/>
            <w:textDirection w:val="btLr"/>
          </w:tcPr>
          <w:p w14:paraId="5590E93D" w14:textId="77777777" w:rsidR="000266D1" w:rsidRPr="00DF076A" w:rsidRDefault="000266D1" w:rsidP="000266D1">
            <w:pPr>
              <w:pStyle w:val="TableHeading"/>
            </w:pPr>
            <w:r w:rsidRPr="00DF076A">
              <w:t xml:space="preserve">Likelihood of occurrence </w:t>
            </w:r>
          </w:p>
          <w:p w14:paraId="3350B2CF" w14:textId="77777777" w:rsidR="000266D1" w:rsidRPr="00DF076A" w:rsidRDefault="000266D1" w:rsidP="000266D1">
            <w:pPr>
              <w:pStyle w:val="TableHeading"/>
            </w:pPr>
          </w:p>
        </w:tc>
        <w:tc>
          <w:tcPr>
            <w:tcW w:w="992" w:type="dxa"/>
            <w:shd w:val="clear" w:color="auto" w:fill="auto"/>
            <w:textDirection w:val="btLr"/>
          </w:tcPr>
          <w:p w14:paraId="39E88D63" w14:textId="77777777" w:rsidR="000266D1" w:rsidRPr="00DF076A" w:rsidRDefault="000266D1" w:rsidP="000266D1">
            <w:pPr>
              <w:pStyle w:val="TableHeading"/>
            </w:pPr>
            <w:r w:rsidRPr="00DF076A">
              <w:t>Consequence</w:t>
            </w:r>
          </w:p>
          <w:p w14:paraId="2984CECE" w14:textId="54169CBE" w:rsidR="000266D1" w:rsidRPr="00DF076A" w:rsidRDefault="000266D1" w:rsidP="000266D1">
            <w:pPr>
              <w:pStyle w:val="TableHeading"/>
            </w:pPr>
            <w:r>
              <w:t>r</w:t>
            </w:r>
            <w:r w:rsidRPr="00DF076A">
              <w:t>ating</w:t>
            </w:r>
          </w:p>
        </w:tc>
        <w:tc>
          <w:tcPr>
            <w:tcW w:w="1701" w:type="dxa"/>
            <w:shd w:val="clear" w:color="auto" w:fill="auto"/>
            <w:textDirection w:val="btLr"/>
          </w:tcPr>
          <w:p w14:paraId="4D4FE48E" w14:textId="74C061B4" w:rsidR="000266D1" w:rsidRPr="00DF076A" w:rsidRDefault="000266D1" w:rsidP="000266D1">
            <w:pPr>
              <w:pStyle w:val="TableHeading"/>
            </w:pPr>
            <w:r w:rsidRPr="00DF076A">
              <w:t xml:space="preserve">Risk </w:t>
            </w:r>
            <w:r>
              <w:t>r</w:t>
            </w:r>
            <w:r w:rsidRPr="00DF076A">
              <w:t xml:space="preserve">ating </w:t>
            </w:r>
            <w:r>
              <w:t>p</w:t>
            </w:r>
            <w:r w:rsidRPr="00DF076A">
              <w:t>re-</w:t>
            </w:r>
            <w:r>
              <w:t>t</w:t>
            </w:r>
            <w:r w:rsidRPr="00DF076A">
              <w:t>reatment</w:t>
            </w:r>
          </w:p>
        </w:tc>
        <w:tc>
          <w:tcPr>
            <w:tcW w:w="3402" w:type="dxa"/>
            <w:shd w:val="clear" w:color="auto" w:fill="auto"/>
          </w:tcPr>
          <w:p w14:paraId="543D53D6" w14:textId="77777777" w:rsidR="000266D1" w:rsidRPr="00E9128B" w:rsidRDefault="000266D1" w:rsidP="000266D1">
            <w:pPr>
              <w:pStyle w:val="TableHeading"/>
            </w:pPr>
            <w:r w:rsidRPr="00E9128B">
              <w:t>Treatments to reduce risk</w:t>
            </w:r>
          </w:p>
        </w:tc>
      </w:tr>
      <w:tr w:rsidR="000266D1" w:rsidRPr="00CE2878" w14:paraId="49A95566" w14:textId="77777777" w:rsidTr="004E4C48">
        <w:trPr>
          <w:cantSplit/>
          <w:trHeight w:val="2591"/>
        </w:trPr>
        <w:tc>
          <w:tcPr>
            <w:tcW w:w="2376" w:type="dxa"/>
            <w:vMerge/>
            <w:shd w:val="clear" w:color="auto" w:fill="auto"/>
          </w:tcPr>
          <w:p w14:paraId="7CDAAEC3" w14:textId="77777777" w:rsidR="000266D1" w:rsidRPr="00CE2878" w:rsidRDefault="000266D1" w:rsidP="000266D1">
            <w:pPr>
              <w:pStyle w:val="TableText0"/>
              <w:keepNext w:val="0"/>
              <w:rPr>
                <w:szCs w:val="24"/>
              </w:rPr>
            </w:pPr>
          </w:p>
        </w:tc>
        <w:tc>
          <w:tcPr>
            <w:tcW w:w="993" w:type="dxa"/>
            <w:tcBorders>
              <w:top w:val="dotted" w:sz="4" w:space="0" w:color="auto"/>
            </w:tcBorders>
            <w:shd w:val="clear" w:color="auto" w:fill="auto"/>
            <w:textDirection w:val="btLr"/>
          </w:tcPr>
          <w:p w14:paraId="6C6F73FC" w14:textId="76B8D473" w:rsidR="000266D1" w:rsidRPr="00FE052A" w:rsidRDefault="000266D1" w:rsidP="000266D1">
            <w:pPr>
              <w:pStyle w:val="TableText0"/>
              <w:keepNext w:val="0"/>
              <w:spacing w:before="0"/>
              <w:rPr>
                <w:color w:val="008000"/>
              </w:rPr>
            </w:pPr>
            <w:r w:rsidRPr="00FE052A">
              <w:rPr>
                <w:color w:val="008000"/>
              </w:rPr>
              <w:t xml:space="preserve">A Highly </w:t>
            </w:r>
            <w:r>
              <w:rPr>
                <w:color w:val="008000"/>
              </w:rPr>
              <w:t>u</w:t>
            </w:r>
            <w:r w:rsidRPr="00FE052A">
              <w:rPr>
                <w:color w:val="008000"/>
              </w:rPr>
              <w:t>nlikely</w:t>
            </w:r>
            <w:r>
              <w:rPr>
                <w:color w:val="008000"/>
              </w:rPr>
              <w:t>.</w:t>
            </w:r>
            <w:r w:rsidRPr="00FE052A">
              <w:rPr>
                <w:color w:val="008000"/>
              </w:rPr>
              <w:t xml:space="preserve"> B Unlikely</w:t>
            </w:r>
          </w:p>
          <w:p w14:paraId="0AC18236" w14:textId="77777777" w:rsidR="000266D1" w:rsidRPr="00FE052A" w:rsidRDefault="000266D1" w:rsidP="000266D1">
            <w:pPr>
              <w:pStyle w:val="TableText0"/>
              <w:keepNext w:val="0"/>
              <w:rPr>
                <w:color w:val="FF9900"/>
              </w:rPr>
            </w:pPr>
            <w:r w:rsidRPr="00FE052A">
              <w:rPr>
                <w:color w:val="FF9900"/>
              </w:rPr>
              <w:t>C Possible</w:t>
            </w:r>
          </w:p>
          <w:p w14:paraId="3CAD083E" w14:textId="47A10861" w:rsidR="000266D1" w:rsidRPr="00FE052A" w:rsidRDefault="000266D1" w:rsidP="000266D1">
            <w:pPr>
              <w:pStyle w:val="TableText0"/>
              <w:keepNext w:val="0"/>
            </w:pPr>
            <w:r w:rsidRPr="00FE052A">
              <w:rPr>
                <w:color w:val="FF0000"/>
              </w:rPr>
              <w:t>D Likely</w:t>
            </w:r>
            <w:r>
              <w:rPr>
                <w:color w:val="FF0000"/>
              </w:rPr>
              <w:t xml:space="preserve">. </w:t>
            </w:r>
            <w:r w:rsidRPr="00FE052A">
              <w:rPr>
                <w:color w:val="FF0000"/>
              </w:rPr>
              <w:t xml:space="preserve">E Highly </w:t>
            </w:r>
            <w:r>
              <w:rPr>
                <w:color w:val="FF0000"/>
              </w:rPr>
              <w:t>l</w:t>
            </w:r>
            <w:r w:rsidRPr="00FE052A">
              <w:rPr>
                <w:color w:val="FF0000"/>
              </w:rPr>
              <w:t>ikely</w:t>
            </w:r>
          </w:p>
        </w:tc>
        <w:tc>
          <w:tcPr>
            <w:tcW w:w="992" w:type="dxa"/>
            <w:tcBorders>
              <w:top w:val="dotted" w:sz="4" w:space="0" w:color="auto"/>
            </w:tcBorders>
            <w:shd w:val="clear" w:color="auto" w:fill="auto"/>
            <w:textDirection w:val="btLr"/>
          </w:tcPr>
          <w:p w14:paraId="5521F5F5" w14:textId="07CB489C" w:rsidR="000266D1" w:rsidRPr="00FE052A" w:rsidRDefault="000266D1" w:rsidP="000266D1">
            <w:pPr>
              <w:pStyle w:val="TableText0"/>
              <w:keepNext w:val="0"/>
              <w:rPr>
                <w:color w:val="008000"/>
              </w:rPr>
            </w:pPr>
            <w:r w:rsidRPr="00FE052A">
              <w:rPr>
                <w:color w:val="008000"/>
              </w:rPr>
              <w:t xml:space="preserve">1 Insignificant </w:t>
            </w:r>
            <w:r>
              <w:rPr>
                <w:color w:val="008000"/>
              </w:rPr>
              <w:t xml:space="preserve">. </w:t>
            </w:r>
            <w:r w:rsidRPr="00FE052A">
              <w:rPr>
                <w:color w:val="008000"/>
              </w:rPr>
              <w:t>2 Minor</w:t>
            </w:r>
          </w:p>
          <w:p w14:paraId="12E5A421" w14:textId="77777777" w:rsidR="000266D1" w:rsidRPr="00FE052A" w:rsidRDefault="000266D1" w:rsidP="000266D1">
            <w:pPr>
              <w:pStyle w:val="TableText0"/>
              <w:keepNext w:val="0"/>
              <w:rPr>
                <w:color w:val="FF9900"/>
              </w:rPr>
            </w:pPr>
            <w:r w:rsidRPr="00FE052A">
              <w:rPr>
                <w:color w:val="FF9900"/>
              </w:rPr>
              <w:t>3 Moderate</w:t>
            </w:r>
          </w:p>
          <w:p w14:paraId="0ED63D97" w14:textId="3BB89D30" w:rsidR="000266D1" w:rsidRPr="00FE052A" w:rsidRDefault="000266D1" w:rsidP="000266D1">
            <w:pPr>
              <w:pStyle w:val="TableText0"/>
              <w:keepNext w:val="0"/>
            </w:pPr>
            <w:r w:rsidRPr="00FE052A">
              <w:rPr>
                <w:color w:val="FF0000"/>
              </w:rPr>
              <w:t>4 Major</w:t>
            </w:r>
            <w:r>
              <w:rPr>
                <w:color w:val="FF0000"/>
              </w:rPr>
              <w:t xml:space="preserve">. </w:t>
            </w:r>
            <w:r w:rsidRPr="00FE052A">
              <w:rPr>
                <w:color w:val="FF0000"/>
              </w:rPr>
              <w:t>5 Extreme</w:t>
            </w:r>
          </w:p>
        </w:tc>
        <w:tc>
          <w:tcPr>
            <w:tcW w:w="1701" w:type="dxa"/>
            <w:shd w:val="clear" w:color="auto" w:fill="auto"/>
            <w:textDirection w:val="btLr"/>
          </w:tcPr>
          <w:p w14:paraId="4C0574CA" w14:textId="1949F8CE" w:rsidR="000266D1" w:rsidRPr="00FE052A" w:rsidRDefault="000266D1" w:rsidP="000266D1">
            <w:pPr>
              <w:pStyle w:val="TableText0"/>
              <w:keepNext w:val="0"/>
            </w:pPr>
            <w:r w:rsidRPr="00FE052A">
              <w:rPr>
                <w:color w:val="008000"/>
              </w:rPr>
              <w:t xml:space="preserve">Low ongoing monitoring </w:t>
            </w:r>
          </w:p>
          <w:p w14:paraId="085E464C" w14:textId="77777777" w:rsidR="000266D1" w:rsidRPr="00FE052A" w:rsidRDefault="000266D1" w:rsidP="000266D1">
            <w:pPr>
              <w:pStyle w:val="TableText0"/>
              <w:keepNext w:val="0"/>
              <w:rPr>
                <w:color w:val="FF9900"/>
              </w:rPr>
            </w:pPr>
            <w:r w:rsidRPr="00FE052A">
              <w:rPr>
                <w:color w:val="FF9900"/>
              </w:rPr>
              <w:t>Medium active management required</w:t>
            </w:r>
          </w:p>
          <w:p w14:paraId="23BB8E14" w14:textId="77777777" w:rsidR="000266D1" w:rsidRPr="00FE052A" w:rsidRDefault="000266D1" w:rsidP="000266D1">
            <w:pPr>
              <w:pStyle w:val="TableText0"/>
              <w:keepNext w:val="0"/>
              <w:rPr>
                <w:color w:val="FF0000"/>
              </w:rPr>
            </w:pPr>
            <w:r w:rsidRPr="00FE052A">
              <w:rPr>
                <w:color w:val="FF0000"/>
              </w:rPr>
              <w:t>High intervention required</w:t>
            </w:r>
          </w:p>
          <w:p w14:paraId="6D465F24" w14:textId="77777777" w:rsidR="000266D1" w:rsidRPr="00FE052A" w:rsidRDefault="000266D1" w:rsidP="000266D1">
            <w:pPr>
              <w:pStyle w:val="TableText0"/>
              <w:keepNext w:val="0"/>
            </w:pPr>
            <w:r w:rsidRPr="00FE052A">
              <w:rPr>
                <w:color w:val="FF0000"/>
              </w:rPr>
              <w:t>Critical urgent attention</w:t>
            </w:r>
          </w:p>
        </w:tc>
        <w:tc>
          <w:tcPr>
            <w:tcW w:w="3402" w:type="dxa"/>
            <w:tcBorders>
              <w:top w:val="dotted" w:sz="4" w:space="0" w:color="auto"/>
            </w:tcBorders>
            <w:shd w:val="clear" w:color="auto" w:fill="C0FAB8"/>
          </w:tcPr>
          <w:p w14:paraId="4DB79D70" w14:textId="3A45E2DA" w:rsidR="000266D1" w:rsidRPr="00FE052A" w:rsidRDefault="000266D1" w:rsidP="000266D1">
            <w:pPr>
              <w:pStyle w:val="TableText0"/>
              <w:keepNext w:val="0"/>
            </w:pPr>
            <w:r w:rsidRPr="00FE052A">
              <w:t xml:space="preserve">Risk </w:t>
            </w:r>
            <w:r>
              <w:t>r</w:t>
            </w:r>
            <w:r w:rsidRPr="00FE052A">
              <w:t>ating post</w:t>
            </w:r>
            <w:r>
              <w:t>-</w:t>
            </w:r>
            <w:r w:rsidRPr="00FE052A">
              <w:t xml:space="preserve">treatment </w:t>
            </w:r>
          </w:p>
          <w:p w14:paraId="181FA3D0" w14:textId="77777777" w:rsidR="000266D1" w:rsidRPr="00FE052A" w:rsidRDefault="000266D1" w:rsidP="000266D1">
            <w:pPr>
              <w:pStyle w:val="TableText0"/>
              <w:keepNext w:val="0"/>
              <w:rPr>
                <w:color w:val="008000"/>
              </w:rPr>
            </w:pPr>
          </w:p>
          <w:p w14:paraId="10DC190A" w14:textId="79A064DA" w:rsidR="000266D1" w:rsidRPr="00FE052A" w:rsidRDefault="000266D1" w:rsidP="000266D1">
            <w:pPr>
              <w:pStyle w:val="TableText0"/>
              <w:keepNext w:val="0"/>
              <w:rPr>
                <w:color w:val="008000"/>
              </w:rPr>
            </w:pPr>
            <w:r w:rsidRPr="00FE052A">
              <w:rPr>
                <w:color w:val="008000"/>
              </w:rPr>
              <w:t>Low ongoing monitoring (green)</w:t>
            </w:r>
          </w:p>
          <w:p w14:paraId="66B94A21" w14:textId="77777777" w:rsidR="000266D1" w:rsidRPr="00FE052A" w:rsidRDefault="000266D1" w:rsidP="000266D1">
            <w:pPr>
              <w:pStyle w:val="TableText0"/>
              <w:keepNext w:val="0"/>
            </w:pPr>
          </w:p>
          <w:p w14:paraId="6D5DC859" w14:textId="77777777" w:rsidR="000266D1" w:rsidRPr="00FE052A" w:rsidRDefault="000266D1" w:rsidP="000266D1">
            <w:pPr>
              <w:pStyle w:val="TableText0"/>
              <w:keepNext w:val="0"/>
              <w:rPr>
                <w:color w:val="FF9900"/>
              </w:rPr>
            </w:pPr>
            <w:r w:rsidRPr="00FE052A">
              <w:rPr>
                <w:color w:val="FF9900"/>
              </w:rPr>
              <w:t>Medium active management required (amber)</w:t>
            </w:r>
          </w:p>
          <w:p w14:paraId="41DC01E8" w14:textId="77777777" w:rsidR="000266D1" w:rsidRPr="00FE052A" w:rsidRDefault="000266D1" w:rsidP="000266D1">
            <w:pPr>
              <w:pStyle w:val="TableText0"/>
              <w:keepNext w:val="0"/>
              <w:rPr>
                <w:color w:val="FF0000"/>
              </w:rPr>
            </w:pPr>
          </w:p>
          <w:p w14:paraId="3041F99F" w14:textId="77777777" w:rsidR="000266D1" w:rsidRPr="00FE052A" w:rsidRDefault="000266D1" w:rsidP="000266D1">
            <w:pPr>
              <w:pStyle w:val="TableText0"/>
              <w:keepNext w:val="0"/>
              <w:rPr>
                <w:color w:val="FF0000"/>
              </w:rPr>
            </w:pPr>
            <w:r w:rsidRPr="00FE052A">
              <w:rPr>
                <w:color w:val="FF0000"/>
              </w:rPr>
              <w:t>High intervention required</w:t>
            </w:r>
          </w:p>
          <w:p w14:paraId="6E122885" w14:textId="77777777" w:rsidR="000266D1" w:rsidRPr="00CE2878" w:rsidRDefault="000266D1" w:rsidP="000266D1">
            <w:pPr>
              <w:pStyle w:val="TableText0"/>
              <w:keepNext w:val="0"/>
              <w:rPr>
                <w:color w:val="FF0000"/>
                <w:sz w:val="16"/>
                <w:szCs w:val="16"/>
              </w:rPr>
            </w:pPr>
            <w:r w:rsidRPr="00FE052A">
              <w:rPr>
                <w:color w:val="FF0000"/>
              </w:rPr>
              <w:t>Critical urgent attention (red)</w:t>
            </w:r>
          </w:p>
        </w:tc>
      </w:tr>
      <w:tr w:rsidR="000266D1" w:rsidRPr="00FE052A" w14:paraId="690DD87F" w14:textId="77777777" w:rsidTr="004E4C48">
        <w:tc>
          <w:tcPr>
            <w:tcW w:w="9464" w:type="dxa"/>
            <w:gridSpan w:val="5"/>
            <w:shd w:val="clear" w:color="auto" w:fill="F2F2F2" w:themeFill="background1" w:themeFillShade="F2"/>
          </w:tcPr>
          <w:p w14:paraId="003E173B" w14:textId="77777777" w:rsidR="000266D1" w:rsidRPr="00FE052A" w:rsidRDefault="000266D1" w:rsidP="000266D1">
            <w:pPr>
              <w:pStyle w:val="TableText0"/>
              <w:keepNext w:val="0"/>
              <w:rPr>
                <w:b/>
              </w:rPr>
            </w:pPr>
            <w:r>
              <w:rPr>
                <w:b/>
              </w:rPr>
              <w:t>1</w:t>
            </w:r>
            <w:r w:rsidRPr="00FE052A">
              <w:rPr>
                <w:b/>
              </w:rPr>
              <w:t xml:space="preserve"> Technical risks</w:t>
            </w:r>
          </w:p>
        </w:tc>
      </w:tr>
      <w:tr w:rsidR="000266D1" w:rsidRPr="00CE2878" w14:paraId="12AFDF7D" w14:textId="77777777" w:rsidTr="004E4C48">
        <w:trPr>
          <w:trHeight w:val="595"/>
        </w:trPr>
        <w:tc>
          <w:tcPr>
            <w:tcW w:w="2376" w:type="dxa"/>
            <w:vMerge w:val="restart"/>
            <w:shd w:val="clear" w:color="auto" w:fill="auto"/>
          </w:tcPr>
          <w:p w14:paraId="53376477" w14:textId="77777777" w:rsidR="000266D1" w:rsidRPr="00FE052A" w:rsidRDefault="000266D1" w:rsidP="000266D1">
            <w:pPr>
              <w:pStyle w:val="TableText0"/>
              <w:keepNext w:val="0"/>
              <w:ind w:left="426" w:hanging="426"/>
            </w:pPr>
            <w:r>
              <w:t>1.1</w:t>
            </w:r>
            <w:r>
              <w:tab/>
            </w:r>
            <w:r w:rsidRPr="00FE052A">
              <w:t>Disease dispersal risks</w:t>
            </w:r>
          </w:p>
        </w:tc>
        <w:tc>
          <w:tcPr>
            <w:tcW w:w="993" w:type="dxa"/>
            <w:vMerge w:val="restart"/>
            <w:shd w:val="clear" w:color="auto" w:fill="auto"/>
          </w:tcPr>
          <w:p w14:paraId="0F1619C7" w14:textId="77777777" w:rsidR="000266D1" w:rsidRPr="00FE052A" w:rsidRDefault="000266D1" w:rsidP="000266D1">
            <w:pPr>
              <w:pStyle w:val="TableText0"/>
              <w:keepNext w:val="0"/>
            </w:pPr>
          </w:p>
        </w:tc>
        <w:tc>
          <w:tcPr>
            <w:tcW w:w="992" w:type="dxa"/>
            <w:vMerge w:val="restart"/>
            <w:shd w:val="clear" w:color="auto" w:fill="auto"/>
          </w:tcPr>
          <w:p w14:paraId="5DE79406" w14:textId="77777777" w:rsidR="000266D1" w:rsidRPr="00FE052A" w:rsidRDefault="000266D1" w:rsidP="000266D1">
            <w:pPr>
              <w:pStyle w:val="TableText0"/>
              <w:keepNext w:val="0"/>
            </w:pPr>
          </w:p>
        </w:tc>
        <w:tc>
          <w:tcPr>
            <w:tcW w:w="1701" w:type="dxa"/>
            <w:vMerge w:val="restart"/>
            <w:shd w:val="clear" w:color="auto" w:fill="auto"/>
          </w:tcPr>
          <w:p w14:paraId="182694E1" w14:textId="77777777" w:rsidR="000266D1" w:rsidRPr="00FE052A" w:rsidRDefault="000266D1" w:rsidP="000266D1">
            <w:pPr>
              <w:pStyle w:val="TableText0"/>
              <w:keepNext w:val="0"/>
            </w:pPr>
          </w:p>
        </w:tc>
        <w:tc>
          <w:tcPr>
            <w:tcW w:w="3402" w:type="dxa"/>
            <w:shd w:val="clear" w:color="auto" w:fill="auto"/>
          </w:tcPr>
          <w:p w14:paraId="1B2A4864" w14:textId="3E383CAD" w:rsidR="000266D1" w:rsidRPr="00FE052A" w:rsidRDefault="000266D1" w:rsidP="000266D1">
            <w:pPr>
              <w:pStyle w:val="TableBullet"/>
            </w:pPr>
            <w:r w:rsidRPr="00FE052A">
              <w:t>Movement/decontamination procedures</w:t>
            </w:r>
          </w:p>
          <w:p w14:paraId="4027F733" w14:textId="670EBEFE" w:rsidR="000266D1" w:rsidRPr="00FE052A" w:rsidRDefault="000266D1" w:rsidP="000266D1">
            <w:pPr>
              <w:pStyle w:val="TableBullet"/>
            </w:pPr>
            <w:r w:rsidRPr="007B3ABA">
              <w:t>RA/CA/z</w:t>
            </w:r>
            <w:r w:rsidRPr="00FE052A">
              <w:t>one management approach</w:t>
            </w:r>
          </w:p>
          <w:p w14:paraId="58433552" w14:textId="3BC1F116" w:rsidR="000266D1" w:rsidRPr="00FE052A" w:rsidRDefault="000266D1" w:rsidP="000266D1">
            <w:pPr>
              <w:pStyle w:val="TableBullet"/>
            </w:pPr>
            <w:r w:rsidRPr="00FE052A">
              <w:t>Monitoring outside known infected zones</w:t>
            </w:r>
          </w:p>
          <w:p w14:paraId="256163CE" w14:textId="1A4AB887" w:rsidR="000266D1" w:rsidRPr="00FE052A" w:rsidRDefault="000266D1" w:rsidP="000266D1">
            <w:pPr>
              <w:pStyle w:val="TableBullet"/>
            </w:pPr>
            <w:r w:rsidRPr="00FE052A">
              <w:t>Targeted surveillance</w:t>
            </w:r>
          </w:p>
          <w:p w14:paraId="243EA796" w14:textId="3F95DD39" w:rsidR="000266D1" w:rsidRPr="00FE052A" w:rsidRDefault="000266D1" w:rsidP="000266D1">
            <w:pPr>
              <w:pStyle w:val="TableBullet"/>
            </w:pPr>
            <w:r w:rsidRPr="00FE052A">
              <w:t>Communications and community engagement</w:t>
            </w:r>
          </w:p>
        </w:tc>
      </w:tr>
      <w:tr w:rsidR="000266D1" w:rsidRPr="00CE2878" w14:paraId="3334FFB2" w14:textId="77777777" w:rsidTr="004E4C48">
        <w:trPr>
          <w:trHeight w:val="350"/>
        </w:trPr>
        <w:tc>
          <w:tcPr>
            <w:tcW w:w="2376" w:type="dxa"/>
            <w:vMerge/>
            <w:shd w:val="clear" w:color="auto" w:fill="auto"/>
          </w:tcPr>
          <w:p w14:paraId="001D8885" w14:textId="77777777" w:rsidR="000266D1" w:rsidRPr="00FE052A" w:rsidRDefault="000266D1" w:rsidP="000266D1">
            <w:pPr>
              <w:pStyle w:val="TableText0"/>
              <w:keepNext w:val="0"/>
            </w:pPr>
          </w:p>
        </w:tc>
        <w:tc>
          <w:tcPr>
            <w:tcW w:w="993" w:type="dxa"/>
            <w:vMerge/>
            <w:shd w:val="clear" w:color="auto" w:fill="auto"/>
          </w:tcPr>
          <w:p w14:paraId="080AFC16" w14:textId="77777777" w:rsidR="000266D1" w:rsidRPr="00FE052A" w:rsidRDefault="000266D1" w:rsidP="000266D1">
            <w:pPr>
              <w:pStyle w:val="TableText0"/>
              <w:keepNext w:val="0"/>
            </w:pPr>
          </w:p>
        </w:tc>
        <w:tc>
          <w:tcPr>
            <w:tcW w:w="992" w:type="dxa"/>
            <w:vMerge/>
            <w:shd w:val="clear" w:color="auto" w:fill="auto"/>
          </w:tcPr>
          <w:p w14:paraId="28757A16" w14:textId="77777777" w:rsidR="000266D1" w:rsidRPr="00FE052A" w:rsidRDefault="000266D1" w:rsidP="000266D1">
            <w:pPr>
              <w:pStyle w:val="TableText0"/>
              <w:keepNext w:val="0"/>
            </w:pPr>
          </w:p>
        </w:tc>
        <w:tc>
          <w:tcPr>
            <w:tcW w:w="1701" w:type="dxa"/>
            <w:vMerge/>
            <w:shd w:val="clear" w:color="auto" w:fill="auto"/>
          </w:tcPr>
          <w:p w14:paraId="3DD978A6" w14:textId="77777777" w:rsidR="000266D1" w:rsidRPr="00FE052A" w:rsidRDefault="000266D1" w:rsidP="000266D1">
            <w:pPr>
              <w:pStyle w:val="TableText0"/>
              <w:keepNext w:val="0"/>
            </w:pPr>
          </w:p>
        </w:tc>
        <w:tc>
          <w:tcPr>
            <w:tcW w:w="3402" w:type="dxa"/>
            <w:shd w:val="clear" w:color="auto" w:fill="CCFFCC"/>
          </w:tcPr>
          <w:p w14:paraId="5AF63AA7" w14:textId="7354A6CD" w:rsidR="000266D1" w:rsidRPr="00FE052A" w:rsidRDefault="000266D1" w:rsidP="000266D1">
            <w:pPr>
              <w:pStyle w:val="TableText0"/>
              <w:keepNext w:val="0"/>
            </w:pPr>
            <w:r w:rsidRPr="00FE052A">
              <w:t>Green cell colour = low risk rating post</w:t>
            </w:r>
            <w:r>
              <w:t>-</w:t>
            </w:r>
            <w:r w:rsidRPr="00FE052A">
              <w:t>treatment</w:t>
            </w:r>
          </w:p>
        </w:tc>
      </w:tr>
      <w:tr w:rsidR="000266D1" w:rsidRPr="00CE2878" w14:paraId="1F5144CE" w14:textId="77777777" w:rsidTr="004E4C48">
        <w:trPr>
          <w:trHeight w:val="260"/>
        </w:trPr>
        <w:tc>
          <w:tcPr>
            <w:tcW w:w="2376" w:type="dxa"/>
            <w:vMerge w:val="restart"/>
            <w:shd w:val="clear" w:color="auto" w:fill="auto"/>
          </w:tcPr>
          <w:p w14:paraId="13422024" w14:textId="5A23F1A2" w:rsidR="000266D1" w:rsidRPr="00D57ACA" w:rsidRDefault="000266D1" w:rsidP="000266D1">
            <w:pPr>
              <w:pStyle w:val="TableText0"/>
              <w:keepNext w:val="0"/>
              <w:ind w:left="426" w:hanging="426"/>
              <w:rPr>
                <w:lang w:val="fr-FR"/>
              </w:rPr>
            </w:pPr>
            <w:r w:rsidRPr="00D57ACA">
              <w:rPr>
                <w:lang w:val="fr-FR"/>
              </w:rPr>
              <w:t>1.2</w:t>
            </w:r>
            <w:r w:rsidRPr="00D57ACA">
              <w:rPr>
                <w:lang w:val="fr-FR"/>
              </w:rPr>
              <w:tab/>
              <w:t>Disease agent environmental resilience/survival</w:t>
            </w:r>
          </w:p>
        </w:tc>
        <w:tc>
          <w:tcPr>
            <w:tcW w:w="993" w:type="dxa"/>
            <w:vMerge w:val="restart"/>
            <w:shd w:val="clear" w:color="auto" w:fill="auto"/>
          </w:tcPr>
          <w:p w14:paraId="6AD7BBB3" w14:textId="77777777" w:rsidR="000266D1" w:rsidRPr="00D57ACA" w:rsidRDefault="000266D1" w:rsidP="000266D1">
            <w:pPr>
              <w:pStyle w:val="TableText0"/>
              <w:keepNext w:val="0"/>
              <w:rPr>
                <w:lang w:val="fr-FR"/>
              </w:rPr>
            </w:pPr>
          </w:p>
        </w:tc>
        <w:tc>
          <w:tcPr>
            <w:tcW w:w="992" w:type="dxa"/>
            <w:vMerge w:val="restart"/>
            <w:shd w:val="clear" w:color="auto" w:fill="auto"/>
          </w:tcPr>
          <w:p w14:paraId="7148ABD3" w14:textId="77777777" w:rsidR="000266D1" w:rsidRPr="00D57ACA" w:rsidRDefault="000266D1" w:rsidP="000266D1">
            <w:pPr>
              <w:pStyle w:val="TableText0"/>
              <w:keepNext w:val="0"/>
              <w:rPr>
                <w:lang w:val="fr-FR"/>
              </w:rPr>
            </w:pPr>
          </w:p>
        </w:tc>
        <w:tc>
          <w:tcPr>
            <w:tcW w:w="1701" w:type="dxa"/>
            <w:vMerge w:val="restart"/>
            <w:shd w:val="clear" w:color="auto" w:fill="auto"/>
          </w:tcPr>
          <w:p w14:paraId="0BF4A9C7" w14:textId="77777777" w:rsidR="000266D1" w:rsidRPr="00D57ACA" w:rsidRDefault="000266D1" w:rsidP="000266D1">
            <w:pPr>
              <w:pStyle w:val="TableText0"/>
              <w:keepNext w:val="0"/>
              <w:rPr>
                <w:lang w:val="fr-FR"/>
              </w:rPr>
            </w:pPr>
          </w:p>
        </w:tc>
        <w:tc>
          <w:tcPr>
            <w:tcW w:w="3402" w:type="dxa"/>
            <w:shd w:val="clear" w:color="auto" w:fill="auto"/>
          </w:tcPr>
          <w:p w14:paraId="4421EEF7" w14:textId="2FF9CD16" w:rsidR="000266D1" w:rsidRPr="00FE052A" w:rsidRDefault="000266D1" w:rsidP="000266D1">
            <w:pPr>
              <w:pStyle w:val="TableBullet"/>
            </w:pPr>
            <w:r w:rsidRPr="00FE052A">
              <w:t>Targeted surveillance based on risk</w:t>
            </w:r>
          </w:p>
          <w:p w14:paraId="64D951FE" w14:textId="308A2D04" w:rsidR="000266D1" w:rsidRPr="00FE052A" w:rsidRDefault="000266D1" w:rsidP="000266D1">
            <w:pPr>
              <w:pStyle w:val="TableBullet"/>
            </w:pPr>
            <w:r w:rsidRPr="00FE052A">
              <w:t>Routine everyday procedures for detection and reporting of exotic/foreign diseases</w:t>
            </w:r>
          </w:p>
          <w:p w14:paraId="002B7C6E" w14:textId="3FEDD2D0" w:rsidR="000266D1" w:rsidRPr="00FE052A" w:rsidRDefault="000266D1" w:rsidP="000266D1">
            <w:pPr>
              <w:pStyle w:val="TableBullet"/>
            </w:pPr>
            <w:r w:rsidRPr="00FE052A">
              <w:t>Research (not cost shareable)</w:t>
            </w:r>
          </w:p>
        </w:tc>
      </w:tr>
      <w:tr w:rsidR="000266D1" w:rsidRPr="00CE2878" w14:paraId="6E003069" w14:textId="77777777" w:rsidTr="004E4C48">
        <w:trPr>
          <w:trHeight w:val="350"/>
        </w:trPr>
        <w:tc>
          <w:tcPr>
            <w:tcW w:w="2376" w:type="dxa"/>
            <w:vMerge/>
            <w:shd w:val="clear" w:color="auto" w:fill="auto"/>
          </w:tcPr>
          <w:p w14:paraId="0BC95933" w14:textId="77777777" w:rsidR="000266D1" w:rsidRPr="00FE052A" w:rsidRDefault="000266D1" w:rsidP="000266D1">
            <w:pPr>
              <w:pStyle w:val="TableText0"/>
              <w:keepNext w:val="0"/>
            </w:pPr>
          </w:p>
        </w:tc>
        <w:tc>
          <w:tcPr>
            <w:tcW w:w="993" w:type="dxa"/>
            <w:vMerge/>
            <w:shd w:val="clear" w:color="auto" w:fill="auto"/>
          </w:tcPr>
          <w:p w14:paraId="466FAA88" w14:textId="77777777" w:rsidR="000266D1" w:rsidRPr="00FE052A" w:rsidRDefault="000266D1" w:rsidP="000266D1">
            <w:pPr>
              <w:pStyle w:val="TableText0"/>
              <w:keepNext w:val="0"/>
            </w:pPr>
          </w:p>
        </w:tc>
        <w:tc>
          <w:tcPr>
            <w:tcW w:w="992" w:type="dxa"/>
            <w:vMerge/>
            <w:shd w:val="clear" w:color="auto" w:fill="auto"/>
          </w:tcPr>
          <w:p w14:paraId="44EDF54E" w14:textId="77777777" w:rsidR="000266D1" w:rsidRPr="00FE052A" w:rsidRDefault="000266D1" w:rsidP="000266D1">
            <w:pPr>
              <w:pStyle w:val="TableText0"/>
              <w:keepNext w:val="0"/>
            </w:pPr>
          </w:p>
        </w:tc>
        <w:tc>
          <w:tcPr>
            <w:tcW w:w="1701" w:type="dxa"/>
            <w:vMerge/>
            <w:shd w:val="clear" w:color="auto" w:fill="auto"/>
          </w:tcPr>
          <w:p w14:paraId="77E87944" w14:textId="77777777" w:rsidR="000266D1" w:rsidRPr="00FE052A" w:rsidRDefault="000266D1" w:rsidP="000266D1">
            <w:pPr>
              <w:pStyle w:val="TableText0"/>
              <w:keepNext w:val="0"/>
            </w:pPr>
          </w:p>
        </w:tc>
        <w:tc>
          <w:tcPr>
            <w:tcW w:w="3402" w:type="dxa"/>
            <w:shd w:val="clear" w:color="auto" w:fill="FFC000"/>
          </w:tcPr>
          <w:p w14:paraId="2C810DEE" w14:textId="21BD3FAB" w:rsidR="000266D1" w:rsidRPr="00FE052A" w:rsidRDefault="000266D1" w:rsidP="000266D1">
            <w:pPr>
              <w:pStyle w:val="TableText0"/>
              <w:keepNext w:val="0"/>
            </w:pPr>
            <w:r w:rsidRPr="00FE052A">
              <w:t>Amber cell colour = medium risk rating post</w:t>
            </w:r>
            <w:r>
              <w:t>-</w:t>
            </w:r>
            <w:r w:rsidRPr="00FE052A">
              <w:t>treatment</w:t>
            </w:r>
          </w:p>
        </w:tc>
      </w:tr>
      <w:tr w:rsidR="000266D1" w:rsidRPr="00CE2878" w14:paraId="7BEB4732" w14:textId="77777777" w:rsidTr="004E4C48">
        <w:trPr>
          <w:cantSplit/>
          <w:trHeight w:val="350"/>
        </w:trPr>
        <w:tc>
          <w:tcPr>
            <w:tcW w:w="2376" w:type="dxa"/>
            <w:vMerge w:val="restart"/>
            <w:shd w:val="clear" w:color="auto" w:fill="auto"/>
          </w:tcPr>
          <w:p w14:paraId="184E1AE4" w14:textId="77777777" w:rsidR="000266D1" w:rsidRPr="00FE052A" w:rsidRDefault="000266D1" w:rsidP="000266D1">
            <w:pPr>
              <w:pStyle w:val="TableText0"/>
              <w:ind w:left="426" w:hanging="426"/>
            </w:pPr>
            <w:r>
              <w:t>1.3</w:t>
            </w:r>
            <w:r>
              <w:tab/>
            </w:r>
            <w:r w:rsidRPr="00FE052A">
              <w:t xml:space="preserve">Disease </w:t>
            </w:r>
          </w:p>
          <w:p w14:paraId="076A6224" w14:textId="77777777" w:rsidR="000266D1" w:rsidRPr="00FE052A" w:rsidRDefault="000266D1" w:rsidP="000266D1">
            <w:pPr>
              <w:pStyle w:val="TableBullet"/>
              <w:ind w:left="567" w:hanging="141"/>
            </w:pPr>
            <w:r w:rsidRPr="00FE052A">
              <w:t xml:space="preserve">host </w:t>
            </w:r>
          </w:p>
          <w:p w14:paraId="1743B33B" w14:textId="77777777" w:rsidR="000266D1" w:rsidRPr="00FE052A" w:rsidRDefault="000266D1" w:rsidP="000266D1">
            <w:pPr>
              <w:pStyle w:val="TableBullet"/>
              <w:tabs>
                <w:tab w:val="clear" w:pos="360"/>
              </w:tabs>
              <w:ind w:left="567" w:hanging="141"/>
            </w:pPr>
            <w:r w:rsidRPr="00FE052A">
              <w:t>alternative hosts (wildlife)</w:t>
            </w:r>
          </w:p>
          <w:p w14:paraId="1B3FA219" w14:textId="77777777" w:rsidR="000266D1" w:rsidRPr="00FE052A" w:rsidRDefault="000266D1" w:rsidP="000266D1">
            <w:pPr>
              <w:pStyle w:val="TableBullet"/>
              <w:tabs>
                <w:tab w:val="clear" w:pos="360"/>
              </w:tabs>
              <w:ind w:left="567" w:hanging="141"/>
            </w:pPr>
            <w:r w:rsidRPr="00FE052A">
              <w:t>alternative hosts (production animals)</w:t>
            </w:r>
          </w:p>
          <w:p w14:paraId="733A4D61" w14:textId="77777777" w:rsidR="000266D1" w:rsidRPr="00FE052A" w:rsidRDefault="000266D1" w:rsidP="000266D1">
            <w:pPr>
              <w:pStyle w:val="TableText0"/>
            </w:pPr>
          </w:p>
        </w:tc>
        <w:tc>
          <w:tcPr>
            <w:tcW w:w="993" w:type="dxa"/>
            <w:vMerge w:val="restart"/>
            <w:shd w:val="clear" w:color="auto" w:fill="auto"/>
          </w:tcPr>
          <w:p w14:paraId="1EB77A33" w14:textId="77777777" w:rsidR="000266D1" w:rsidRPr="00FE052A" w:rsidRDefault="000266D1" w:rsidP="000266D1">
            <w:pPr>
              <w:pStyle w:val="TableText0"/>
            </w:pPr>
          </w:p>
        </w:tc>
        <w:tc>
          <w:tcPr>
            <w:tcW w:w="992" w:type="dxa"/>
            <w:vMerge w:val="restart"/>
            <w:shd w:val="clear" w:color="auto" w:fill="auto"/>
          </w:tcPr>
          <w:p w14:paraId="7FD7C905" w14:textId="77777777" w:rsidR="000266D1" w:rsidRPr="00FE052A" w:rsidRDefault="000266D1" w:rsidP="000266D1">
            <w:pPr>
              <w:pStyle w:val="TableText0"/>
            </w:pPr>
          </w:p>
        </w:tc>
        <w:tc>
          <w:tcPr>
            <w:tcW w:w="1701" w:type="dxa"/>
            <w:vMerge w:val="restart"/>
            <w:shd w:val="clear" w:color="auto" w:fill="auto"/>
          </w:tcPr>
          <w:p w14:paraId="1447C47F" w14:textId="77777777" w:rsidR="000266D1" w:rsidRPr="00FE052A" w:rsidRDefault="000266D1" w:rsidP="000266D1">
            <w:pPr>
              <w:pStyle w:val="TableText0"/>
            </w:pPr>
          </w:p>
        </w:tc>
        <w:tc>
          <w:tcPr>
            <w:tcW w:w="3402" w:type="dxa"/>
            <w:shd w:val="clear" w:color="auto" w:fill="auto"/>
          </w:tcPr>
          <w:p w14:paraId="204A0365" w14:textId="74404F3F" w:rsidR="000266D1" w:rsidRPr="00FE052A" w:rsidRDefault="000266D1" w:rsidP="000266D1">
            <w:pPr>
              <w:pStyle w:val="TableBullet"/>
            </w:pPr>
            <w:r w:rsidRPr="00FE052A">
              <w:t>Structured systematic approach to surveillance over time</w:t>
            </w:r>
          </w:p>
          <w:p w14:paraId="52710990" w14:textId="622D12B4" w:rsidR="000266D1" w:rsidRPr="00FE052A" w:rsidRDefault="000266D1" w:rsidP="000266D1">
            <w:pPr>
              <w:pStyle w:val="TableBullet"/>
            </w:pPr>
            <w:r w:rsidRPr="00FE052A">
              <w:t>Randomised surveillance with high level of confidence undertaken on population of known hosts and potential hosts</w:t>
            </w:r>
          </w:p>
          <w:p w14:paraId="5588CB47" w14:textId="7633761A" w:rsidR="000266D1" w:rsidRPr="00FE052A" w:rsidRDefault="000266D1" w:rsidP="000266D1">
            <w:pPr>
              <w:pStyle w:val="TableBullet"/>
            </w:pPr>
            <w:r w:rsidRPr="00FE052A">
              <w:t>Community and partners are educated on signs of disease and encouraged to report suspect, and each report is investigated</w:t>
            </w:r>
          </w:p>
        </w:tc>
      </w:tr>
      <w:tr w:rsidR="000266D1" w:rsidRPr="00CE2878" w14:paraId="504B2115" w14:textId="77777777" w:rsidTr="004E4C48">
        <w:trPr>
          <w:cantSplit/>
          <w:trHeight w:val="368"/>
        </w:trPr>
        <w:tc>
          <w:tcPr>
            <w:tcW w:w="2376" w:type="dxa"/>
            <w:vMerge/>
            <w:shd w:val="clear" w:color="auto" w:fill="auto"/>
          </w:tcPr>
          <w:p w14:paraId="0C17324B" w14:textId="77777777" w:rsidR="000266D1" w:rsidRPr="00FE052A" w:rsidRDefault="000266D1" w:rsidP="000266D1">
            <w:pPr>
              <w:pStyle w:val="TableText0"/>
              <w:keepNext w:val="0"/>
            </w:pPr>
          </w:p>
        </w:tc>
        <w:tc>
          <w:tcPr>
            <w:tcW w:w="993" w:type="dxa"/>
            <w:vMerge/>
            <w:shd w:val="clear" w:color="auto" w:fill="auto"/>
          </w:tcPr>
          <w:p w14:paraId="70F114BA" w14:textId="77777777" w:rsidR="000266D1" w:rsidRPr="00FE052A" w:rsidRDefault="000266D1" w:rsidP="000266D1">
            <w:pPr>
              <w:pStyle w:val="TableText0"/>
              <w:keepNext w:val="0"/>
            </w:pPr>
          </w:p>
        </w:tc>
        <w:tc>
          <w:tcPr>
            <w:tcW w:w="992" w:type="dxa"/>
            <w:vMerge/>
            <w:shd w:val="clear" w:color="auto" w:fill="auto"/>
          </w:tcPr>
          <w:p w14:paraId="6BB50739" w14:textId="77777777" w:rsidR="000266D1" w:rsidRPr="00FE052A" w:rsidRDefault="000266D1" w:rsidP="000266D1">
            <w:pPr>
              <w:pStyle w:val="TableText0"/>
              <w:keepNext w:val="0"/>
            </w:pPr>
          </w:p>
        </w:tc>
        <w:tc>
          <w:tcPr>
            <w:tcW w:w="1701" w:type="dxa"/>
            <w:vMerge/>
            <w:shd w:val="clear" w:color="auto" w:fill="auto"/>
          </w:tcPr>
          <w:p w14:paraId="1AE305E1" w14:textId="77777777" w:rsidR="000266D1" w:rsidRPr="00FE052A" w:rsidRDefault="000266D1" w:rsidP="000266D1">
            <w:pPr>
              <w:pStyle w:val="TableText0"/>
              <w:keepNext w:val="0"/>
            </w:pPr>
          </w:p>
        </w:tc>
        <w:tc>
          <w:tcPr>
            <w:tcW w:w="3402" w:type="dxa"/>
            <w:shd w:val="clear" w:color="auto" w:fill="FF0000"/>
          </w:tcPr>
          <w:p w14:paraId="12653912" w14:textId="2F46C72C" w:rsidR="000266D1" w:rsidRPr="00FE052A" w:rsidRDefault="000266D1" w:rsidP="000266D1">
            <w:pPr>
              <w:pStyle w:val="TableText0"/>
              <w:keepNext w:val="0"/>
            </w:pPr>
            <w:r w:rsidRPr="00FE052A">
              <w:t>Red cell colour = high risk rating post</w:t>
            </w:r>
            <w:r>
              <w:t>-</w:t>
            </w:r>
            <w:r w:rsidRPr="00FE052A">
              <w:t>treatment</w:t>
            </w:r>
          </w:p>
        </w:tc>
      </w:tr>
      <w:tr w:rsidR="000266D1" w:rsidRPr="00CE2878" w14:paraId="687BAEEE" w14:textId="77777777" w:rsidTr="004E4C48">
        <w:trPr>
          <w:trHeight w:val="465"/>
        </w:trPr>
        <w:tc>
          <w:tcPr>
            <w:tcW w:w="2376" w:type="dxa"/>
            <w:vMerge w:val="restart"/>
            <w:shd w:val="clear" w:color="auto" w:fill="auto"/>
          </w:tcPr>
          <w:p w14:paraId="6D410FA6" w14:textId="77777777" w:rsidR="000266D1" w:rsidRPr="00FE052A" w:rsidRDefault="000266D1" w:rsidP="000266D1">
            <w:pPr>
              <w:pStyle w:val="TableText0"/>
              <w:keepNext w:val="0"/>
              <w:ind w:left="426" w:hanging="426"/>
            </w:pPr>
            <w:r>
              <w:t>1.4</w:t>
            </w:r>
            <w:r>
              <w:tab/>
            </w:r>
            <w:r w:rsidRPr="00FE052A">
              <w:t>Detection methods – sensitivity, precision, availability, capacity</w:t>
            </w:r>
          </w:p>
        </w:tc>
        <w:tc>
          <w:tcPr>
            <w:tcW w:w="993" w:type="dxa"/>
            <w:vMerge w:val="restart"/>
            <w:shd w:val="clear" w:color="auto" w:fill="auto"/>
          </w:tcPr>
          <w:p w14:paraId="74023828" w14:textId="77777777" w:rsidR="000266D1" w:rsidRPr="00FE052A" w:rsidRDefault="000266D1" w:rsidP="000266D1">
            <w:pPr>
              <w:pStyle w:val="TableText0"/>
              <w:keepNext w:val="0"/>
            </w:pPr>
          </w:p>
        </w:tc>
        <w:tc>
          <w:tcPr>
            <w:tcW w:w="992" w:type="dxa"/>
            <w:vMerge w:val="restart"/>
            <w:shd w:val="clear" w:color="auto" w:fill="auto"/>
          </w:tcPr>
          <w:p w14:paraId="1431431B" w14:textId="77777777" w:rsidR="000266D1" w:rsidRPr="00FE052A" w:rsidRDefault="000266D1" w:rsidP="000266D1">
            <w:pPr>
              <w:pStyle w:val="TableText0"/>
              <w:keepNext w:val="0"/>
            </w:pPr>
          </w:p>
        </w:tc>
        <w:tc>
          <w:tcPr>
            <w:tcW w:w="1701" w:type="dxa"/>
            <w:vMerge w:val="restart"/>
            <w:shd w:val="clear" w:color="auto" w:fill="auto"/>
          </w:tcPr>
          <w:p w14:paraId="40E81DED" w14:textId="77777777" w:rsidR="000266D1" w:rsidRPr="00FE052A" w:rsidRDefault="000266D1" w:rsidP="000266D1">
            <w:pPr>
              <w:pStyle w:val="TableText0"/>
              <w:keepNext w:val="0"/>
            </w:pPr>
          </w:p>
        </w:tc>
        <w:tc>
          <w:tcPr>
            <w:tcW w:w="3402" w:type="dxa"/>
            <w:shd w:val="clear" w:color="auto" w:fill="auto"/>
          </w:tcPr>
          <w:p w14:paraId="23D0F301" w14:textId="4953A30C" w:rsidR="000266D1" w:rsidRPr="00FE052A" w:rsidRDefault="000266D1" w:rsidP="000266D1">
            <w:pPr>
              <w:pStyle w:val="TableBullet"/>
            </w:pPr>
            <w:r w:rsidRPr="00FE052A">
              <w:t>Structured systematic approach to surveillance</w:t>
            </w:r>
            <w:r>
              <w:t>,</w:t>
            </w:r>
            <w:r w:rsidRPr="00FE052A">
              <w:t xml:space="preserve"> including repeat inspections at specified intervals over time</w:t>
            </w:r>
          </w:p>
          <w:p w14:paraId="2207220A" w14:textId="28A2E8D0" w:rsidR="000266D1" w:rsidRPr="00FE052A" w:rsidRDefault="000266D1" w:rsidP="000266D1">
            <w:pPr>
              <w:pStyle w:val="TableBullet"/>
            </w:pPr>
            <w:r w:rsidRPr="00FE052A">
              <w:t>Community and partners are educated on signs of disease and encouraged to report suspect, and each report is investigated</w:t>
            </w:r>
          </w:p>
          <w:p w14:paraId="06B1A7B6" w14:textId="1268F507" w:rsidR="000266D1" w:rsidRPr="00FE052A" w:rsidRDefault="000266D1" w:rsidP="000266D1">
            <w:pPr>
              <w:pStyle w:val="TableBullet"/>
            </w:pPr>
            <w:r w:rsidRPr="00FE052A">
              <w:t>Routine everyday procedures for detection and reporting of exotic/foreign diseases</w:t>
            </w:r>
          </w:p>
        </w:tc>
      </w:tr>
      <w:tr w:rsidR="000266D1" w:rsidRPr="00CE2878" w14:paraId="5515809B" w14:textId="77777777" w:rsidTr="004E4C48">
        <w:trPr>
          <w:trHeight w:val="50"/>
        </w:trPr>
        <w:tc>
          <w:tcPr>
            <w:tcW w:w="2376" w:type="dxa"/>
            <w:vMerge/>
            <w:shd w:val="clear" w:color="auto" w:fill="auto"/>
          </w:tcPr>
          <w:p w14:paraId="6BF2DB0B" w14:textId="77777777" w:rsidR="000266D1" w:rsidRPr="00FE052A" w:rsidRDefault="000266D1" w:rsidP="000266D1">
            <w:pPr>
              <w:pStyle w:val="TableText0"/>
              <w:keepNext w:val="0"/>
            </w:pPr>
          </w:p>
        </w:tc>
        <w:tc>
          <w:tcPr>
            <w:tcW w:w="993" w:type="dxa"/>
            <w:vMerge/>
            <w:shd w:val="clear" w:color="auto" w:fill="auto"/>
          </w:tcPr>
          <w:p w14:paraId="5ECA1521" w14:textId="77777777" w:rsidR="000266D1" w:rsidRPr="00FE052A" w:rsidRDefault="000266D1" w:rsidP="000266D1">
            <w:pPr>
              <w:pStyle w:val="TableText0"/>
              <w:keepNext w:val="0"/>
            </w:pPr>
          </w:p>
        </w:tc>
        <w:tc>
          <w:tcPr>
            <w:tcW w:w="992" w:type="dxa"/>
            <w:vMerge/>
            <w:shd w:val="clear" w:color="auto" w:fill="auto"/>
          </w:tcPr>
          <w:p w14:paraId="09996EA1" w14:textId="77777777" w:rsidR="000266D1" w:rsidRPr="00FE052A" w:rsidRDefault="000266D1" w:rsidP="000266D1">
            <w:pPr>
              <w:pStyle w:val="TableText0"/>
              <w:keepNext w:val="0"/>
            </w:pPr>
          </w:p>
        </w:tc>
        <w:tc>
          <w:tcPr>
            <w:tcW w:w="1701" w:type="dxa"/>
            <w:vMerge/>
            <w:shd w:val="clear" w:color="auto" w:fill="auto"/>
          </w:tcPr>
          <w:p w14:paraId="5E35CF95" w14:textId="77777777" w:rsidR="000266D1" w:rsidRPr="00FE052A" w:rsidRDefault="000266D1" w:rsidP="000266D1">
            <w:pPr>
              <w:pStyle w:val="TableText0"/>
              <w:keepNext w:val="0"/>
            </w:pPr>
          </w:p>
        </w:tc>
        <w:tc>
          <w:tcPr>
            <w:tcW w:w="3402" w:type="dxa"/>
            <w:shd w:val="clear" w:color="auto" w:fill="CCFF99"/>
          </w:tcPr>
          <w:p w14:paraId="516970B4" w14:textId="77777777" w:rsidR="000266D1" w:rsidRPr="00FE052A" w:rsidRDefault="000266D1" w:rsidP="000266D1">
            <w:pPr>
              <w:pStyle w:val="TableText0"/>
              <w:keepNext w:val="0"/>
            </w:pPr>
          </w:p>
        </w:tc>
      </w:tr>
      <w:tr w:rsidR="000266D1" w:rsidRPr="00CE2878" w14:paraId="3E28C221" w14:textId="77777777" w:rsidTr="004E4C48">
        <w:trPr>
          <w:trHeight w:val="473"/>
        </w:trPr>
        <w:tc>
          <w:tcPr>
            <w:tcW w:w="2376" w:type="dxa"/>
            <w:vMerge w:val="restart"/>
            <w:shd w:val="clear" w:color="auto" w:fill="FFFFFF" w:themeFill="background1"/>
          </w:tcPr>
          <w:p w14:paraId="34F3A4A2" w14:textId="3828B3B8" w:rsidR="000266D1" w:rsidRPr="00FE052A" w:rsidRDefault="000266D1" w:rsidP="000266D1">
            <w:pPr>
              <w:pStyle w:val="TableText0"/>
              <w:keepNext w:val="0"/>
              <w:ind w:left="426" w:hanging="426"/>
            </w:pPr>
            <w:r>
              <w:t>1.5</w:t>
            </w:r>
            <w:r>
              <w:tab/>
            </w:r>
            <w:r w:rsidRPr="00FE052A">
              <w:t>Diagnostic/</w:t>
            </w:r>
            <w:r>
              <w:br/>
            </w:r>
            <w:r w:rsidRPr="00FE052A">
              <w:t>identification methods, sensitivity, precision</w:t>
            </w:r>
          </w:p>
        </w:tc>
        <w:tc>
          <w:tcPr>
            <w:tcW w:w="993" w:type="dxa"/>
            <w:vMerge w:val="restart"/>
            <w:shd w:val="clear" w:color="auto" w:fill="FFFFFF" w:themeFill="background1"/>
          </w:tcPr>
          <w:p w14:paraId="01FFAB07" w14:textId="77777777" w:rsidR="000266D1" w:rsidRPr="00FE052A" w:rsidRDefault="000266D1" w:rsidP="000266D1">
            <w:pPr>
              <w:pStyle w:val="TableText0"/>
              <w:keepNext w:val="0"/>
            </w:pPr>
          </w:p>
        </w:tc>
        <w:tc>
          <w:tcPr>
            <w:tcW w:w="992" w:type="dxa"/>
            <w:vMerge w:val="restart"/>
            <w:shd w:val="clear" w:color="auto" w:fill="FFFFFF" w:themeFill="background1"/>
          </w:tcPr>
          <w:p w14:paraId="4850ECA8" w14:textId="77777777" w:rsidR="000266D1" w:rsidRPr="00FE052A" w:rsidRDefault="000266D1" w:rsidP="000266D1">
            <w:pPr>
              <w:pStyle w:val="TableText0"/>
              <w:keepNext w:val="0"/>
            </w:pPr>
          </w:p>
        </w:tc>
        <w:tc>
          <w:tcPr>
            <w:tcW w:w="1701" w:type="dxa"/>
            <w:vMerge w:val="restart"/>
            <w:shd w:val="clear" w:color="auto" w:fill="FFFFFF" w:themeFill="background1"/>
          </w:tcPr>
          <w:p w14:paraId="6393BCF4" w14:textId="77777777" w:rsidR="000266D1" w:rsidRPr="00FE052A" w:rsidRDefault="000266D1" w:rsidP="000266D1">
            <w:pPr>
              <w:pStyle w:val="TableText0"/>
              <w:keepNext w:val="0"/>
            </w:pPr>
          </w:p>
        </w:tc>
        <w:tc>
          <w:tcPr>
            <w:tcW w:w="3402" w:type="dxa"/>
            <w:shd w:val="clear" w:color="auto" w:fill="FFFFFF" w:themeFill="background1"/>
          </w:tcPr>
          <w:p w14:paraId="35C4B7E7" w14:textId="288CC2AC" w:rsidR="000266D1" w:rsidRPr="00FE052A" w:rsidRDefault="000266D1" w:rsidP="000266D1">
            <w:pPr>
              <w:pStyle w:val="TableBullet"/>
            </w:pPr>
            <w:r w:rsidRPr="00FE052A">
              <w:t>Multiple screening for high</w:t>
            </w:r>
            <w:r>
              <w:t>-</w:t>
            </w:r>
            <w:r w:rsidRPr="00FE052A">
              <w:t>risk sites</w:t>
            </w:r>
          </w:p>
          <w:p w14:paraId="56CFFBE6" w14:textId="213960E7" w:rsidR="000266D1" w:rsidRPr="00FE052A" w:rsidRDefault="000266D1" w:rsidP="000266D1">
            <w:pPr>
              <w:pStyle w:val="TableBullet"/>
            </w:pPr>
            <w:r w:rsidRPr="00FE052A">
              <w:t>Laboratory testing for high</w:t>
            </w:r>
            <w:r>
              <w:t>-</w:t>
            </w:r>
            <w:r w:rsidRPr="00FE052A">
              <w:t>risk investigations – suspect outside existing zone</w:t>
            </w:r>
            <w:r>
              <w:t xml:space="preserve"> or</w:t>
            </w:r>
            <w:r w:rsidRPr="00FE052A">
              <w:t xml:space="preserve"> new area of infection</w:t>
            </w:r>
          </w:p>
          <w:p w14:paraId="03FF7E60" w14:textId="314730B8" w:rsidR="000266D1" w:rsidRPr="00FE052A" w:rsidRDefault="000266D1" w:rsidP="000266D1">
            <w:pPr>
              <w:pStyle w:val="TableBullet"/>
            </w:pPr>
            <w:r w:rsidRPr="00FE052A">
              <w:t>Testing available elsewhere in Australia</w:t>
            </w:r>
          </w:p>
          <w:p w14:paraId="7B9FD7DA" w14:textId="3FB848C0" w:rsidR="000266D1" w:rsidRPr="00FE052A" w:rsidRDefault="000266D1" w:rsidP="000266D1">
            <w:pPr>
              <w:pStyle w:val="TableBullet"/>
            </w:pPr>
            <w:r w:rsidRPr="00FE052A">
              <w:t xml:space="preserve">Research and test development (not usually covered by </w:t>
            </w:r>
            <w:r>
              <w:t>c</w:t>
            </w:r>
            <w:r w:rsidRPr="00FE052A">
              <w:t xml:space="preserve">ost </w:t>
            </w:r>
            <w:r>
              <w:t>s</w:t>
            </w:r>
            <w:r w:rsidRPr="00FE052A">
              <w:t>haring)</w:t>
            </w:r>
          </w:p>
        </w:tc>
      </w:tr>
      <w:tr w:rsidR="000266D1" w:rsidRPr="00CE2878" w14:paraId="52607F67" w14:textId="77777777" w:rsidTr="004E4C48">
        <w:trPr>
          <w:trHeight w:val="224"/>
        </w:trPr>
        <w:tc>
          <w:tcPr>
            <w:tcW w:w="2376" w:type="dxa"/>
            <w:vMerge/>
            <w:shd w:val="clear" w:color="auto" w:fill="D9D9D9" w:themeFill="background1" w:themeFillShade="D9"/>
          </w:tcPr>
          <w:p w14:paraId="3CAC3019" w14:textId="77777777" w:rsidR="000266D1" w:rsidRDefault="000266D1" w:rsidP="000266D1">
            <w:pPr>
              <w:pStyle w:val="TableText0"/>
              <w:keepNext w:val="0"/>
              <w:rPr>
                <w:sz w:val="18"/>
                <w:szCs w:val="18"/>
              </w:rPr>
            </w:pPr>
          </w:p>
        </w:tc>
        <w:tc>
          <w:tcPr>
            <w:tcW w:w="993" w:type="dxa"/>
            <w:vMerge/>
            <w:shd w:val="clear" w:color="auto" w:fill="D9D9D9" w:themeFill="background1" w:themeFillShade="D9"/>
          </w:tcPr>
          <w:p w14:paraId="34BE0D31" w14:textId="77777777" w:rsidR="000266D1" w:rsidRPr="00CE2878" w:rsidRDefault="000266D1" w:rsidP="000266D1">
            <w:pPr>
              <w:pStyle w:val="TableText0"/>
              <w:keepNext w:val="0"/>
              <w:rPr>
                <w:sz w:val="20"/>
              </w:rPr>
            </w:pPr>
          </w:p>
        </w:tc>
        <w:tc>
          <w:tcPr>
            <w:tcW w:w="992" w:type="dxa"/>
            <w:vMerge/>
            <w:shd w:val="clear" w:color="auto" w:fill="D9D9D9" w:themeFill="background1" w:themeFillShade="D9"/>
          </w:tcPr>
          <w:p w14:paraId="7A0CF008" w14:textId="77777777" w:rsidR="000266D1" w:rsidRPr="00CE2878" w:rsidRDefault="000266D1" w:rsidP="000266D1">
            <w:pPr>
              <w:pStyle w:val="TableText0"/>
              <w:keepNext w:val="0"/>
              <w:rPr>
                <w:sz w:val="20"/>
              </w:rPr>
            </w:pPr>
          </w:p>
        </w:tc>
        <w:tc>
          <w:tcPr>
            <w:tcW w:w="1701" w:type="dxa"/>
            <w:vMerge/>
            <w:shd w:val="clear" w:color="auto" w:fill="D9D9D9" w:themeFill="background1" w:themeFillShade="D9"/>
          </w:tcPr>
          <w:p w14:paraId="5D615DF0" w14:textId="77777777" w:rsidR="000266D1" w:rsidRPr="00CE2878" w:rsidRDefault="000266D1" w:rsidP="000266D1">
            <w:pPr>
              <w:pStyle w:val="TableText0"/>
              <w:keepNext w:val="0"/>
              <w:rPr>
                <w:sz w:val="20"/>
              </w:rPr>
            </w:pPr>
          </w:p>
        </w:tc>
        <w:tc>
          <w:tcPr>
            <w:tcW w:w="3402" w:type="dxa"/>
            <w:shd w:val="clear" w:color="auto" w:fill="CCFF99"/>
          </w:tcPr>
          <w:p w14:paraId="7B5DA3C4" w14:textId="77777777" w:rsidR="000266D1" w:rsidRPr="00EB22EF" w:rsidRDefault="000266D1" w:rsidP="000266D1">
            <w:pPr>
              <w:pStyle w:val="TableText0"/>
              <w:keepNext w:val="0"/>
              <w:rPr>
                <w:sz w:val="16"/>
                <w:szCs w:val="16"/>
              </w:rPr>
            </w:pPr>
          </w:p>
        </w:tc>
      </w:tr>
      <w:tr w:rsidR="000266D1" w:rsidRPr="00CE2878" w14:paraId="1B9BC8FC" w14:textId="77777777" w:rsidTr="004E4C48">
        <w:trPr>
          <w:trHeight w:val="255"/>
        </w:trPr>
        <w:tc>
          <w:tcPr>
            <w:tcW w:w="2376" w:type="dxa"/>
            <w:vMerge w:val="restart"/>
            <w:shd w:val="clear" w:color="auto" w:fill="auto"/>
          </w:tcPr>
          <w:p w14:paraId="5B046D28" w14:textId="77777777" w:rsidR="000266D1" w:rsidRPr="00EB22EF" w:rsidRDefault="000266D1" w:rsidP="000266D1">
            <w:pPr>
              <w:pStyle w:val="TableText0"/>
              <w:keepNext w:val="0"/>
              <w:ind w:left="426" w:hanging="426"/>
            </w:pPr>
            <w:r>
              <w:t>1.6</w:t>
            </w:r>
            <w:r>
              <w:tab/>
              <w:t>More than 1 disease present in target population</w:t>
            </w:r>
          </w:p>
        </w:tc>
        <w:tc>
          <w:tcPr>
            <w:tcW w:w="993" w:type="dxa"/>
            <w:vMerge w:val="restart"/>
            <w:shd w:val="clear" w:color="auto" w:fill="auto"/>
          </w:tcPr>
          <w:p w14:paraId="53DC7018" w14:textId="77777777" w:rsidR="000266D1" w:rsidRPr="00CE2878" w:rsidRDefault="000266D1" w:rsidP="000266D1">
            <w:pPr>
              <w:pStyle w:val="TableText0"/>
              <w:keepNext w:val="0"/>
              <w:rPr>
                <w:sz w:val="20"/>
              </w:rPr>
            </w:pPr>
          </w:p>
        </w:tc>
        <w:tc>
          <w:tcPr>
            <w:tcW w:w="992" w:type="dxa"/>
            <w:vMerge w:val="restart"/>
            <w:shd w:val="clear" w:color="auto" w:fill="auto"/>
          </w:tcPr>
          <w:p w14:paraId="4AC53D62" w14:textId="77777777" w:rsidR="000266D1" w:rsidRPr="00CE2878" w:rsidRDefault="000266D1" w:rsidP="000266D1">
            <w:pPr>
              <w:pStyle w:val="TableText0"/>
              <w:keepNext w:val="0"/>
              <w:rPr>
                <w:sz w:val="20"/>
              </w:rPr>
            </w:pPr>
          </w:p>
        </w:tc>
        <w:tc>
          <w:tcPr>
            <w:tcW w:w="1701" w:type="dxa"/>
            <w:vMerge w:val="restart"/>
            <w:shd w:val="clear" w:color="auto" w:fill="auto"/>
          </w:tcPr>
          <w:p w14:paraId="0BD0AB53" w14:textId="77777777" w:rsidR="000266D1" w:rsidRPr="00CE2878" w:rsidRDefault="000266D1" w:rsidP="000266D1">
            <w:pPr>
              <w:pStyle w:val="TableText0"/>
              <w:keepNext w:val="0"/>
              <w:rPr>
                <w:sz w:val="20"/>
              </w:rPr>
            </w:pPr>
          </w:p>
        </w:tc>
        <w:tc>
          <w:tcPr>
            <w:tcW w:w="3402" w:type="dxa"/>
            <w:shd w:val="clear" w:color="auto" w:fill="auto"/>
          </w:tcPr>
          <w:p w14:paraId="5F495702" w14:textId="77777777" w:rsidR="000266D1" w:rsidRPr="00FE052A" w:rsidRDefault="000266D1" w:rsidP="000266D1">
            <w:pPr>
              <w:pStyle w:val="TableBullet"/>
            </w:pPr>
            <w:r w:rsidRPr="00FE052A">
              <w:t>As for 1.4</w:t>
            </w:r>
          </w:p>
        </w:tc>
      </w:tr>
      <w:tr w:rsidR="000266D1" w:rsidRPr="00CE2878" w14:paraId="20AA0EC6" w14:textId="77777777" w:rsidTr="004E4C48">
        <w:trPr>
          <w:trHeight w:val="255"/>
        </w:trPr>
        <w:tc>
          <w:tcPr>
            <w:tcW w:w="2376" w:type="dxa"/>
            <w:vMerge/>
            <w:shd w:val="clear" w:color="auto" w:fill="D9D9D9" w:themeFill="background1" w:themeFillShade="D9"/>
          </w:tcPr>
          <w:p w14:paraId="427A3C8B" w14:textId="77777777" w:rsidR="000266D1" w:rsidRDefault="000266D1" w:rsidP="000266D1">
            <w:pPr>
              <w:pStyle w:val="TableText0"/>
              <w:keepNext w:val="0"/>
            </w:pPr>
          </w:p>
        </w:tc>
        <w:tc>
          <w:tcPr>
            <w:tcW w:w="993" w:type="dxa"/>
            <w:vMerge/>
            <w:shd w:val="clear" w:color="auto" w:fill="D9D9D9" w:themeFill="background1" w:themeFillShade="D9"/>
          </w:tcPr>
          <w:p w14:paraId="667187E5" w14:textId="77777777" w:rsidR="000266D1" w:rsidRPr="00CE2878" w:rsidRDefault="000266D1" w:rsidP="000266D1">
            <w:pPr>
              <w:pStyle w:val="TableText0"/>
              <w:keepNext w:val="0"/>
              <w:rPr>
                <w:sz w:val="20"/>
              </w:rPr>
            </w:pPr>
          </w:p>
        </w:tc>
        <w:tc>
          <w:tcPr>
            <w:tcW w:w="992" w:type="dxa"/>
            <w:vMerge/>
            <w:shd w:val="clear" w:color="auto" w:fill="D9D9D9" w:themeFill="background1" w:themeFillShade="D9"/>
          </w:tcPr>
          <w:p w14:paraId="2C774F82" w14:textId="77777777" w:rsidR="000266D1" w:rsidRPr="00CE2878" w:rsidRDefault="000266D1" w:rsidP="000266D1">
            <w:pPr>
              <w:pStyle w:val="TableText0"/>
              <w:keepNext w:val="0"/>
              <w:rPr>
                <w:sz w:val="20"/>
              </w:rPr>
            </w:pPr>
          </w:p>
        </w:tc>
        <w:tc>
          <w:tcPr>
            <w:tcW w:w="1701" w:type="dxa"/>
            <w:vMerge/>
            <w:shd w:val="clear" w:color="auto" w:fill="D9D9D9" w:themeFill="background1" w:themeFillShade="D9"/>
          </w:tcPr>
          <w:p w14:paraId="7831F69B" w14:textId="77777777" w:rsidR="000266D1" w:rsidRPr="00CE2878" w:rsidRDefault="000266D1" w:rsidP="000266D1">
            <w:pPr>
              <w:pStyle w:val="TableText0"/>
              <w:keepNext w:val="0"/>
              <w:rPr>
                <w:sz w:val="20"/>
              </w:rPr>
            </w:pPr>
          </w:p>
        </w:tc>
        <w:tc>
          <w:tcPr>
            <w:tcW w:w="3402" w:type="dxa"/>
            <w:shd w:val="clear" w:color="auto" w:fill="CCFF99"/>
          </w:tcPr>
          <w:p w14:paraId="2FCE83FB" w14:textId="77777777" w:rsidR="000266D1" w:rsidRPr="00FE052A" w:rsidRDefault="000266D1" w:rsidP="000266D1">
            <w:pPr>
              <w:pStyle w:val="TableText0"/>
              <w:keepNext w:val="0"/>
            </w:pPr>
          </w:p>
        </w:tc>
      </w:tr>
      <w:tr w:rsidR="000266D1" w:rsidRPr="00CE2878" w14:paraId="67C0C860" w14:textId="77777777" w:rsidTr="004E4C48">
        <w:trPr>
          <w:trHeight w:val="255"/>
        </w:trPr>
        <w:tc>
          <w:tcPr>
            <w:tcW w:w="2376" w:type="dxa"/>
            <w:vMerge w:val="restart"/>
            <w:shd w:val="clear" w:color="auto" w:fill="auto"/>
          </w:tcPr>
          <w:p w14:paraId="37058C8F" w14:textId="77777777" w:rsidR="000266D1" w:rsidRPr="00EB22EF" w:rsidRDefault="000266D1" w:rsidP="000266D1">
            <w:pPr>
              <w:pStyle w:val="TableText0"/>
              <w:keepNext w:val="0"/>
              <w:ind w:left="426" w:hanging="426"/>
            </w:pPr>
            <w:r>
              <w:t>1.7</w:t>
            </w:r>
            <w:r>
              <w:tab/>
              <w:t>More than 1 strain of the target disease present in target population</w:t>
            </w:r>
          </w:p>
        </w:tc>
        <w:tc>
          <w:tcPr>
            <w:tcW w:w="993" w:type="dxa"/>
            <w:vMerge w:val="restart"/>
            <w:shd w:val="clear" w:color="auto" w:fill="auto"/>
          </w:tcPr>
          <w:p w14:paraId="6AEE207D" w14:textId="77777777" w:rsidR="000266D1" w:rsidRPr="00CE2878" w:rsidRDefault="000266D1" w:rsidP="000266D1">
            <w:pPr>
              <w:pStyle w:val="TableText0"/>
              <w:keepNext w:val="0"/>
              <w:rPr>
                <w:sz w:val="20"/>
              </w:rPr>
            </w:pPr>
          </w:p>
        </w:tc>
        <w:tc>
          <w:tcPr>
            <w:tcW w:w="992" w:type="dxa"/>
            <w:vMerge w:val="restart"/>
            <w:shd w:val="clear" w:color="auto" w:fill="auto"/>
          </w:tcPr>
          <w:p w14:paraId="4C6153BF" w14:textId="77777777" w:rsidR="000266D1" w:rsidRPr="00CE2878" w:rsidRDefault="000266D1" w:rsidP="000266D1">
            <w:pPr>
              <w:pStyle w:val="TableText0"/>
              <w:keepNext w:val="0"/>
              <w:rPr>
                <w:sz w:val="20"/>
              </w:rPr>
            </w:pPr>
          </w:p>
        </w:tc>
        <w:tc>
          <w:tcPr>
            <w:tcW w:w="1701" w:type="dxa"/>
            <w:vMerge w:val="restart"/>
            <w:shd w:val="clear" w:color="auto" w:fill="auto"/>
          </w:tcPr>
          <w:p w14:paraId="4CD69549" w14:textId="77777777" w:rsidR="000266D1" w:rsidRPr="00CE2878" w:rsidRDefault="000266D1" w:rsidP="000266D1">
            <w:pPr>
              <w:pStyle w:val="TableText0"/>
              <w:keepNext w:val="0"/>
              <w:rPr>
                <w:sz w:val="20"/>
              </w:rPr>
            </w:pPr>
          </w:p>
        </w:tc>
        <w:tc>
          <w:tcPr>
            <w:tcW w:w="3402" w:type="dxa"/>
            <w:shd w:val="clear" w:color="auto" w:fill="auto"/>
          </w:tcPr>
          <w:p w14:paraId="5F29F59F" w14:textId="77777777" w:rsidR="000266D1" w:rsidRPr="00FE052A" w:rsidRDefault="000266D1" w:rsidP="000266D1">
            <w:pPr>
              <w:pStyle w:val="TableBullet"/>
            </w:pPr>
            <w:r w:rsidRPr="00FE052A">
              <w:t>As for 1.4</w:t>
            </w:r>
          </w:p>
        </w:tc>
      </w:tr>
      <w:tr w:rsidR="000266D1" w:rsidRPr="00CE2878" w14:paraId="30D7E2B7" w14:textId="77777777" w:rsidTr="004E4C48">
        <w:trPr>
          <w:trHeight w:val="255"/>
        </w:trPr>
        <w:tc>
          <w:tcPr>
            <w:tcW w:w="2376" w:type="dxa"/>
            <w:vMerge/>
            <w:shd w:val="clear" w:color="auto" w:fill="auto"/>
          </w:tcPr>
          <w:p w14:paraId="69D3EF20" w14:textId="77777777" w:rsidR="000266D1" w:rsidRDefault="000266D1" w:rsidP="000266D1">
            <w:pPr>
              <w:pStyle w:val="TableText0"/>
              <w:keepNext w:val="0"/>
            </w:pPr>
          </w:p>
        </w:tc>
        <w:tc>
          <w:tcPr>
            <w:tcW w:w="993" w:type="dxa"/>
            <w:vMerge/>
            <w:shd w:val="clear" w:color="auto" w:fill="auto"/>
          </w:tcPr>
          <w:p w14:paraId="0289A02E" w14:textId="77777777" w:rsidR="000266D1" w:rsidRPr="00CE2878" w:rsidRDefault="000266D1" w:rsidP="000266D1">
            <w:pPr>
              <w:pStyle w:val="TableText0"/>
              <w:keepNext w:val="0"/>
              <w:rPr>
                <w:sz w:val="20"/>
              </w:rPr>
            </w:pPr>
          </w:p>
        </w:tc>
        <w:tc>
          <w:tcPr>
            <w:tcW w:w="992" w:type="dxa"/>
            <w:vMerge/>
            <w:shd w:val="clear" w:color="auto" w:fill="auto"/>
          </w:tcPr>
          <w:p w14:paraId="74D2BA5B" w14:textId="77777777" w:rsidR="000266D1" w:rsidRPr="00CE2878" w:rsidRDefault="000266D1" w:rsidP="000266D1">
            <w:pPr>
              <w:pStyle w:val="TableText0"/>
              <w:keepNext w:val="0"/>
              <w:rPr>
                <w:sz w:val="20"/>
              </w:rPr>
            </w:pPr>
          </w:p>
        </w:tc>
        <w:tc>
          <w:tcPr>
            <w:tcW w:w="1701" w:type="dxa"/>
            <w:vMerge/>
            <w:shd w:val="clear" w:color="auto" w:fill="auto"/>
          </w:tcPr>
          <w:p w14:paraId="5344375C" w14:textId="77777777" w:rsidR="000266D1" w:rsidRPr="00CE2878" w:rsidRDefault="000266D1" w:rsidP="000266D1">
            <w:pPr>
              <w:pStyle w:val="TableText0"/>
              <w:keepNext w:val="0"/>
              <w:rPr>
                <w:sz w:val="20"/>
              </w:rPr>
            </w:pPr>
          </w:p>
        </w:tc>
        <w:tc>
          <w:tcPr>
            <w:tcW w:w="3402" w:type="dxa"/>
            <w:shd w:val="clear" w:color="auto" w:fill="CCFF99"/>
          </w:tcPr>
          <w:p w14:paraId="7B0CB064" w14:textId="77777777" w:rsidR="000266D1" w:rsidRPr="00FE052A" w:rsidRDefault="000266D1" w:rsidP="000266D1">
            <w:pPr>
              <w:pStyle w:val="TableText0"/>
              <w:keepNext w:val="0"/>
            </w:pPr>
          </w:p>
        </w:tc>
      </w:tr>
      <w:tr w:rsidR="000266D1" w:rsidRPr="00CE2878" w14:paraId="209F0FA3" w14:textId="77777777" w:rsidTr="004E4C48">
        <w:trPr>
          <w:trHeight w:val="313"/>
        </w:trPr>
        <w:tc>
          <w:tcPr>
            <w:tcW w:w="2376" w:type="dxa"/>
            <w:vMerge w:val="restart"/>
            <w:shd w:val="clear" w:color="auto" w:fill="auto"/>
          </w:tcPr>
          <w:p w14:paraId="65216005" w14:textId="1BCBB2D6" w:rsidR="000266D1" w:rsidRPr="00EB22EF" w:rsidRDefault="000266D1" w:rsidP="000266D1">
            <w:pPr>
              <w:pStyle w:val="TableText0"/>
              <w:keepNext w:val="0"/>
              <w:ind w:left="426" w:hanging="426"/>
            </w:pPr>
            <w:r>
              <w:t>1.8</w:t>
            </w:r>
            <w:r>
              <w:tab/>
              <w:t>Lack of knowledge of target organism or disease</w:t>
            </w:r>
          </w:p>
        </w:tc>
        <w:tc>
          <w:tcPr>
            <w:tcW w:w="993" w:type="dxa"/>
            <w:vMerge w:val="restart"/>
            <w:shd w:val="clear" w:color="auto" w:fill="auto"/>
          </w:tcPr>
          <w:p w14:paraId="4C6D7BFA" w14:textId="77777777" w:rsidR="000266D1" w:rsidRPr="00CE2878" w:rsidRDefault="000266D1" w:rsidP="000266D1">
            <w:pPr>
              <w:pStyle w:val="TableText0"/>
              <w:keepNext w:val="0"/>
              <w:rPr>
                <w:sz w:val="20"/>
              </w:rPr>
            </w:pPr>
          </w:p>
        </w:tc>
        <w:tc>
          <w:tcPr>
            <w:tcW w:w="992" w:type="dxa"/>
            <w:vMerge w:val="restart"/>
            <w:shd w:val="clear" w:color="auto" w:fill="auto"/>
          </w:tcPr>
          <w:p w14:paraId="1F3A0FB2" w14:textId="77777777" w:rsidR="000266D1" w:rsidRPr="00CE2878" w:rsidRDefault="000266D1" w:rsidP="000266D1">
            <w:pPr>
              <w:pStyle w:val="TableText0"/>
              <w:keepNext w:val="0"/>
              <w:rPr>
                <w:sz w:val="20"/>
              </w:rPr>
            </w:pPr>
          </w:p>
        </w:tc>
        <w:tc>
          <w:tcPr>
            <w:tcW w:w="1701" w:type="dxa"/>
            <w:vMerge w:val="restart"/>
            <w:shd w:val="clear" w:color="auto" w:fill="auto"/>
          </w:tcPr>
          <w:p w14:paraId="1178EC65" w14:textId="77777777" w:rsidR="000266D1" w:rsidRPr="00CE2878" w:rsidRDefault="000266D1" w:rsidP="000266D1">
            <w:pPr>
              <w:pStyle w:val="TableText0"/>
              <w:keepNext w:val="0"/>
              <w:rPr>
                <w:sz w:val="20"/>
              </w:rPr>
            </w:pPr>
          </w:p>
        </w:tc>
        <w:tc>
          <w:tcPr>
            <w:tcW w:w="3402" w:type="dxa"/>
            <w:shd w:val="clear" w:color="auto" w:fill="auto"/>
          </w:tcPr>
          <w:p w14:paraId="6711922A" w14:textId="70988159" w:rsidR="000266D1" w:rsidRPr="00FE052A" w:rsidRDefault="000266D1" w:rsidP="000266D1">
            <w:pPr>
              <w:pStyle w:val="TableBullet"/>
            </w:pPr>
            <w:r w:rsidRPr="00FE052A">
              <w:t>Structured systematic approach to surveillance and analysis of collated information to inform decision making</w:t>
            </w:r>
          </w:p>
          <w:p w14:paraId="28214D4B" w14:textId="0956F8C4" w:rsidR="000266D1" w:rsidRPr="00FE052A" w:rsidRDefault="000266D1" w:rsidP="000266D1">
            <w:pPr>
              <w:pStyle w:val="TableBullet"/>
            </w:pPr>
            <w:r w:rsidRPr="00FE052A">
              <w:t xml:space="preserve">Research (not usually covered by </w:t>
            </w:r>
            <w:r>
              <w:t>c</w:t>
            </w:r>
            <w:r w:rsidRPr="00FE052A">
              <w:t xml:space="preserve">ost </w:t>
            </w:r>
            <w:r>
              <w:t>s</w:t>
            </w:r>
            <w:r w:rsidRPr="00FE052A">
              <w:t>haring)</w:t>
            </w:r>
          </w:p>
        </w:tc>
      </w:tr>
      <w:tr w:rsidR="000266D1" w:rsidRPr="00CE2878" w14:paraId="1961D957" w14:textId="77777777" w:rsidTr="004E4C48">
        <w:trPr>
          <w:trHeight w:val="312"/>
        </w:trPr>
        <w:tc>
          <w:tcPr>
            <w:tcW w:w="2376" w:type="dxa"/>
            <w:vMerge/>
            <w:shd w:val="clear" w:color="auto" w:fill="D9D9D9" w:themeFill="background1" w:themeFillShade="D9"/>
          </w:tcPr>
          <w:p w14:paraId="1127AE71" w14:textId="77777777" w:rsidR="000266D1" w:rsidRDefault="000266D1" w:rsidP="000266D1">
            <w:pPr>
              <w:pStyle w:val="TableText0"/>
              <w:keepNext w:val="0"/>
            </w:pPr>
          </w:p>
        </w:tc>
        <w:tc>
          <w:tcPr>
            <w:tcW w:w="993" w:type="dxa"/>
            <w:vMerge/>
            <w:shd w:val="clear" w:color="auto" w:fill="D9D9D9" w:themeFill="background1" w:themeFillShade="D9"/>
          </w:tcPr>
          <w:p w14:paraId="3A5BF0CE" w14:textId="77777777" w:rsidR="000266D1" w:rsidRPr="00CE2878" w:rsidRDefault="000266D1" w:rsidP="000266D1">
            <w:pPr>
              <w:pStyle w:val="TableText0"/>
              <w:keepNext w:val="0"/>
              <w:rPr>
                <w:sz w:val="20"/>
              </w:rPr>
            </w:pPr>
          </w:p>
        </w:tc>
        <w:tc>
          <w:tcPr>
            <w:tcW w:w="992" w:type="dxa"/>
            <w:vMerge/>
            <w:shd w:val="clear" w:color="auto" w:fill="D9D9D9" w:themeFill="background1" w:themeFillShade="D9"/>
          </w:tcPr>
          <w:p w14:paraId="7431DACF" w14:textId="77777777" w:rsidR="000266D1" w:rsidRPr="00CE2878" w:rsidRDefault="000266D1" w:rsidP="000266D1">
            <w:pPr>
              <w:pStyle w:val="TableText0"/>
              <w:keepNext w:val="0"/>
              <w:rPr>
                <w:sz w:val="20"/>
              </w:rPr>
            </w:pPr>
          </w:p>
        </w:tc>
        <w:tc>
          <w:tcPr>
            <w:tcW w:w="1701" w:type="dxa"/>
            <w:vMerge/>
            <w:shd w:val="clear" w:color="auto" w:fill="D9D9D9" w:themeFill="background1" w:themeFillShade="D9"/>
          </w:tcPr>
          <w:p w14:paraId="37A43E72" w14:textId="77777777" w:rsidR="000266D1" w:rsidRPr="00CE2878" w:rsidRDefault="000266D1" w:rsidP="000266D1">
            <w:pPr>
              <w:pStyle w:val="TableText0"/>
              <w:keepNext w:val="0"/>
              <w:rPr>
                <w:sz w:val="20"/>
              </w:rPr>
            </w:pPr>
          </w:p>
        </w:tc>
        <w:tc>
          <w:tcPr>
            <w:tcW w:w="3402" w:type="dxa"/>
            <w:shd w:val="clear" w:color="auto" w:fill="CCFF99"/>
          </w:tcPr>
          <w:p w14:paraId="32FC7002" w14:textId="77777777" w:rsidR="000266D1" w:rsidRPr="00FE052A" w:rsidRDefault="000266D1" w:rsidP="000266D1">
            <w:pPr>
              <w:pStyle w:val="TableText0"/>
              <w:keepNext w:val="0"/>
            </w:pPr>
          </w:p>
        </w:tc>
      </w:tr>
      <w:tr w:rsidR="000266D1" w:rsidRPr="00CE2878" w14:paraId="5A6B5FAD" w14:textId="77777777" w:rsidTr="004E4C48">
        <w:tc>
          <w:tcPr>
            <w:tcW w:w="9464" w:type="dxa"/>
            <w:gridSpan w:val="5"/>
            <w:shd w:val="clear" w:color="auto" w:fill="F2F2F2" w:themeFill="background1" w:themeFillShade="F2"/>
          </w:tcPr>
          <w:p w14:paraId="59DBA590" w14:textId="77777777" w:rsidR="000266D1" w:rsidRPr="00F75D9C" w:rsidRDefault="000266D1" w:rsidP="000266D1">
            <w:pPr>
              <w:pStyle w:val="TableText0"/>
              <w:keepNext w:val="0"/>
              <w:rPr>
                <w:b/>
              </w:rPr>
            </w:pPr>
            <w:r w:rsidRPr="00F75D9C">
              <w:rPr>
                <w:b/>
              </w:rPr>
              <w:t>2 Operational risks</w:t>
            </w:r>
          </w:p>
        </w:tc>
      </w:tr>
      <w:tr w:rsidR="000266D1" w:rsidRPr="00CE2878" w14:paraId="5F511C7B" w14:textId="77777777" w:rsidTr="004E4C48">
        <w:tc>
          <w:tcPr>
            <w:tcW w:w="2376" w:type="dxa"/>
            <w:vMerge w:val="restart"/>
            <w:shd w:val="clear" w:color="auto" w:fill="auto"/>
          </w:tcPr>
          <w:p w14:paraId="64424BEF" w14:textId="39C52E12" w:rsidR="000266D1" w:rsidRPr="00EB22EF" w:rsidRDefault="000266D1" w:rsidP="000266D1">
            <w:pPr>
              <w:pStyle w:val="TableText0"/>
              <w:keepNext w:val="0"/>
              <w:ind w:left="426" w:hanging="426"/>
            </w:pPr>
            <w:r>
              <w:t>2.1</w:t>
            </w:r>
            <w:r>
              <w:tab/>
            </w:r>
            <w:r w:rsidRPr="00EB22EF">
              <w:t>Inadequate resources – stores, equipment and people for field operations and specialised operational areas. There may be specific risks</w:t>
            </w:r>
            <w:r>
              <w:t xml:space="preserve"> </w:t>
            </w:r>
            <w:r w:rsidRPr="00EB22EF">
              <w:t>associated with rate</w:t>
            </w:r>
            <w:r>
              <w:t>-</w:t>
            </w:r>
            <w:r w:rsidRPr="00EB22EF">
              <w:t>limiting resources</w:t>
            </w:r>
          </w:p>
        </w:tc>
        <w:tc>
          <w:tcPr>
            <w:tcW w:w="993" w:type="dxa"/>
            <w:vMerge w:val="restart"/>
            <w:shd w:val="clear" w:color="auto" w:fill="auto"/>
          </w:tcPr>
          <w:p w14:paraId="5E67F2BA" w14:textId="77777777" w:rsidR="000266D1" w:rsidRPr="00CE2878" w:rsidRDefault="000266D1" w:rsidP="000266D1">
            <w:pPr>
              <w:pStyle w:val="TableText0"/>
              <w:keepNext w:val="0"/>
              <w:rPr>
                <w:sz w:val="20"/>
              </w:rPr>
            </w:pPr>
          </w:p>
        </w:tc>
        <w:tc>
          <w:tcPr>
            <w:tcW w:w="992" w:type="dxa"/>
            <w:vMerge w:val="restart"/>
            <w:shd w:val="clear" w:color="auto" w:fill="auto"/>
          </w:tcPr>
          <w:p w14:paraId="54D7C0C8" w14:textId="77777777" w:rsidR="000266D1" w:rsidRPr="00CE2878" w:rsidRDefault="000266D1" w:rsidP="000266D1">
            <w:pPr>
              <w:pStyle w:val="TableText0"/>
              <w:keepNext w:val="0"/>
              <w:rPr>
                <w:sz w:val="20"/>
              </w:rPr>
            </w:pPr>
          </w:p>
        </w:tc>
        <w:tc>
          <w:tcPr>
            <w:tcW w:w="1701" w:type="dxa"/>
            <w:vMerge w:val="restart"/>
            <w:shd w:val="clear" w:color="auto" w:fill="auto"/>
          </w:tcPr>
          <w:p w14:paraId="740B921E" w14:textId="77777777" w:rsidR="000266D1" w:rsidRPr="00CE2878" w:rsidRDefault="000266D1" w:rsidP="000266D1">
            <w:pPr>
              <w:pStyle w:val="TableText0"/>
              <w:keepNext w:val="0"/>
              <w:rPr>
                <w:sz w:val="20"/>
              </w:rPr>
            </w:pPr>
          </w:p>
        </w:tc>
        <w:tc>
          <w:tcPr>
            <w:tcW w:w="3402" w:type="dxa"/>
            <w:shd w:val="clear" w:color="auto" w:fill="auto"/>
          </w:tcPr>
          <w:p w14:paraId="7AF18474" w14:textId="633986F5" w:rsidR="000266D1" w:rsidRPr="00FE052A" w:rsidRDefault="000266D1" w:rsidP="000266D1">
            <w:pPr>
              <w:pStyle w:val="TableBullet"/>
            </w:pPr>
            <w:r w:rsidRPr="00FE052A">
              <w:t xml:space="preserve">Systematic and structured approach to management and operation of </w:t>
            </w:r>
            <w:r>
              <w:t>c</w:t>
            </w:r>
            <w:r w:rsidRPr="00FE052A">
              <w:t xml:space="preserve">ontrol </w:t>
            </w:r>
            <w:r>
              <w:t>c</w:t>
            </w:r>
            <w:r w:rsidRPr="00FE052A">
              <w:t>entre</w:t>
            </w:r>
            <w:r>
              <w:t>,</w:t>
            </w:r>
            <w:r w:rsidRPr="00FE052A">
              <w:t xml:space="preserve"> including functional planning </w:t>
            </w:r>
            <w:r>
              <w:t>(</w:t>
            </w:r>
            <w:r w:rsidRPr="00FE052A">
              <w:t>eg</w:t>
            </w:r>
            <w:r>
              <w:t> r</w:t>
            </w:r>
            <w:r w:rsidRPr="00FE052A">
              <w:t xml:space="preserve">esource </w:t>
            </w:r>
            <w:r>
              <w:t>p</w:t>
            </w:r>
            <w:r w:rsidRPr="00FE052A">
              <w:t>lanning</w:t>
            </w:r>
            <w:r>
              <w:t xml:space="preserve">, </w:t>
            </w:r>
            <w:r w:rsidRPr="00FE052A">
              <w:t>not just operational planning), and development and implementation of logistics systems</w:t>
            </w:r>
          </w:p>
          <w:p w14:paraId="1E734436" w14:textId="5F7B3D04" w:rsidR="000266D1" w:rsidRPr="00FE052A" w:rsidRDefault="000266D1" w:rsidP="000266D1">
            <w:pPr>
              <w:pStyle w:val="TableBullet"/>
            </w:pPr>
            <w:r w:rsidRPr="00FE052A">
              <w:t>Well</w:t>
            </w:r>
            <w:r>
              <w:t>-</w:t>
            </w:r>
            <w:r w:rsidRPr="00FE052A">
              <w:t>described procedures that are applied, and monitoring and review to ensure consistency of application of procedures</w:t>
            </w:r>
          </w:p>
          <w:p w14:paraId="470C9F03" w14:textId="2318786A" w:rsidR="000266D1" w:rsidRPr="00FE052A" w:rsidRDefault="000266D1" w:rsidP="000266D1">
            <w:pPr>
              <w:pStyle w:val="TableBullet"/>
            </w:pPr>
            <w:r w:rsidRPr="00FE052A">
              <w:t>Scheduled third</w:t>
            </w:r>
            <w:r>
              <w:t>-</w:t>
            </w:r>
            <w:r w:rsidRPr="00FE052A">
              <w:t>party audits at specified</w:t>
            </w:r>
            <w:r w:rsidR="00BC2E0B">
              <w:t xml:space="preserve"> times</w:t>
            </w:r>
          </w:p>
          <w:p w14:paraId="4A3D164C" w14:textId="77777777" w:rsidR="000266D1" w:rsidRPr="00FE052A" w:rsidRDefault="000266D1" w:rsidP="000266D1">
            <w:pPr>
              <w:pStyle w:val="TableBullet"/>
            </w:pPr>
            <w:r w:rsidRPr="00FE052A">
              <w:t>Operate in accordance with government policy</w:t>
            </w:r>
          </w:p>
          <w:p w14:paraId="248D4424" w14:textId="009BFE57" w:rsidR="000266D1" w:rsidRPr="00FE052A" w:rsidRDefault="000266D1" w:rsidP="000266D1">
            <w:pPr>
              <w:pStyle w:val="TableBullet"/>
            </w:pPr>
            <w:r w:rsidRPr="00FE052A">
              <w:t xml:space="preserve">Role descriptions as </w:t>
            </w:r>
            <w:r w:rsidRPr="007B3ABA">
              <w:t>per BIMS/ICS</w:t>
            </w:r>
            <w:r w:rsidRPr="00FE052A">
              <w:t xml:space="preserve"> are in place and applied</w:t>
            </w:r>
          </w:p>
          <w:p w14:paraId="5A7BED72" w14:textId="7B7912AA" w:rsidR="000266D1" w:rsidRPr="00FE052A" w:rsidRDefault="000266D1" w:rsidP="000266D1">
            <w:pPr>
              <w:pStyle w:val="TableBullet"/>
            </w:pPr>
            <w:r w:rsidRPr="00FE052A">
              <w:t xml:space="preserve">Performance management approach adopted for majority of </w:t>
            </w:r>
            <w:r w:rsidRPr="003759EC">
              <w:t>Incident Management Team</w:t>
            </w:r>
            <w:r w:rsidRPr="00FE052A">
              <w:t xml:space="preserve"> roles</w:t>
            </w:r>
          </w:p>
        </w:tc>
      </w:tr>
      <w:tr w:rsidR="000266D1" w:rsidRPr="00CE2878" w14:paraId="3719504C" w14:textId="77777777" w:rsidTr="004E4C48">
        <w:trPr>
          <w:trHeight w:val="50"/>
        </w:trPr>
        <w:tc>
          <w:tcPr>
            <w:tcW w:w="2376" w:type="dxa"/>
            <w:vMerge/>
            <w:shd w:val="clear" w:color="auto" w:fill="auto"/>
          </w:tcPr>
          <w:p w14:paraId="45BE945E" w14:textId="77777777" w:rsidR="000266D1" w:rsidRPr="00EB22EF" w:rsidRDefault="000266D1" w:rsidP="000266D1">
            <w:pPr>
              <w:pStyle w:val="TableText0"/>
              <w:keepNext w:val="0"/>
            </w:pPr>
          </w:p>
        </w:tc>
        <w:tc>
          <w:tcPr>
            <w:tcW w:w="993" w:type="dxa"/>
            <w:vMerge/>
            <w:shd w:val="clear" w:color="auto" w:fill="auto"/>
          </w:tcPr>
          <w:p w14:paraId="3B4EB363" w14:textId="77777777" w:rsidR="000266D1" w:rsidRPr="00CE2878" w:rsidRDefault="000266D1" w:rsidP="000266D1">
            <w:pPr>
              <w:pStyle w:val="TableText0"/>
              <w:keepNext w:val="0"/>
              <w:rPr>
                <w:sz w:val="20"/>
              </w:rPr>
            </w:pPr>
          </w:p>
        </w:tc>
        <w:tc>
          <w:tcPr>
            <w:tcW w:w="992" w:type="dxa"/>
            <w:vMerge/>
            <w:shd w:val="clear" w:color="auto" w:fill="auto"/>
          </w:tcPr>
          <w:p w14:paraId="5544C39E" w14:textId="77777777" w:rsidR="000266D1" w:rsidRPr="00CE2878" w:rsidRDefault="000266D1" w:rsidP="000266D1">
            <w:pPr>
              <w:pStyle w:val="TableText0"/>
              <w:keepNext w:val="0"/>
              <w:rPr>
                <w:sz w:val="20"/>
              </w:rPr>
            </w:pPr>
          </w:p>
        </w:tc>
        <w:tc>
          <w:tcPr>
            <w:tcW w:w="1701" w:type="dxa"/>
            <w:vMerge/>
            <w:shd w:val="clear" w:color="auto" w:fill="auto"/>
          </w:tcPr>
          <w:p w14:paraId="4A115865" w14:textId="77777777" w:rsidR="000266D1" w:rsidRPr="00CE2878" w:rsidRDefault="000266D1" w:rsidP="000266D1">
            <w:pPr>
              <w:pStyle w:val="TableText0"/>
              <w:keepNext w:val="0"/>
              <w:rPr>
                <w:sz w:val="20"/>
              </w:rPr>
            </w:pPr>
          </w:p>
        </w:tc>
        <w:tc>
          <w:tcPr>
            <w:tcW w:w="3402" w:type="dxa"/>
            <w:shd w:val="clear" w:color="auto" w:fill="FFCC99"/>
          </w:tcPr>
          <w:p w14:paraId="1678E5EC" w14:textId="77777777" w:rsidR="000266D1" w:rsidRPr="00FE052A" w:rsidRDefault="000266D1" w:rsidP="000266D1">
            <w:pPr>
              <w:pStyle w:val="TableText0"/>
              <w:keepNext w:val="0"/>
            </w:pPr>
          </w:p>
        </w:tc>
      </w:tr>
      <w:tr w:rsidR="000266D1" w:rsidRPr="00CE2878" w14:paraId="70FFE26B" w14:textId="77777777" w:rsidTr="004E4C48">
        <w:trPr>
          <w:trHeight w:val="230"/>
        </w:trPr>
        <w:tc>
          <w:tcPr>
            <w:tcW w:w="2376" w:type="dxa"/>
            <w:vMerge w:val="restart"/>
            <w:shd w:val="clear" w:color="auto" w:fill="auto"/>
          </w:tcPr>
          <w:p w14:paraId="612A4AF9" w14:textId="3535210D" w:rsidR="000266D1" w:rsidRPr="00EB22EF" w:rsidRDefault="000266D1" w:rsidP="000266D1">
            <w:pPr>
              <w:pStyle w:val="TableText0"/>
              <w:keepNext w:val="0"/>
              <w:ind w:left="426" w:hanging="426"/>
            </w:pPr>
            <w:r>
              <w:t>2.2</w:t>
            </w:r>
            <w:r>
              <w:tab/>
            </w:r>
            <w:r w:rsidRPr="00EB22EF">
              <w:t>Human resources not suitably skilled/qualified/</w:t>
            </w:r>
            <w:r>
              <w:br/>
            </w:r>
            <w:r w:rsidRPr="00EB22EF">
              <w:t>experienced for allocated role</w:t>
            </w:r>
            <w:r>
              <w:t xml:space="preserve"> or </w:t>
            </w:r>
            <w:r w:rsidRPr="00EB22EF">
              <w:t>position</w:t>
            </w:r>
          </w:p>
        </w:tc>
        <w:tc>
          <w:tcPr>
            <w:tcW w:w="993" w:type="dxa"/>
            <w:vMerge w:val="restart"/>
            <w:shd w:val="clear" w:color="auto" w:fill="auto"/>
          </w:tcPr>
          <w:p w14:paraId="2E8B2AB8" w14:textId="77777777" w:rsidR="000266D1" w:rsidRPr="00CE2878" w:rsidRDefault="000266D1" w:rsidP="000266D1">
            <w:pPr>
              <w:pStyle w:val="TableText0"/>
              <w:keepNext w:val="0"/>
              <w:rPr>
                <w:sz w:val="20"/>
              </w:rPr>
            </w:pPr>
          </w:p>
        </w:tc>
        <w:tc>
          <w:tcPr>
            <w:tcW w:w="992" w:type="dxa"/>
            <w:vMerge w:val="restart"/>
            <w:shd w:val="clear" w:color="auto" w:fill="auto"/>
          </w:tcPr>
          <w:p w14:paraId="2BF29CC7" w14:textId="77777777" w:rsidR="000266D1" w:rsidRPr="00CE2878" w:rsidRDefault="000266D1" w:rsidP="000266D1">
            <w:pPr>
              <w:pStyle w:val="TableText0"/>
              <w:keepNext w:val="0"/>
              <w:rPr>
                <w:sz w:val="20"/>
              </w:rPr>
            </w:pPr>
          </w:p>
        </w:tc>
        <w:tc>
          <w:tcPr>
            <w:tcW w:w="1701" w:type="dxa"/>
            <w:vMerge w:val="restart"/>
            <w:shd w:val="clear" w:color="auto" w:fill="auto"/>
          </w:tcPr>
          <w:p w14:paraId="15754028" w14:textId="77777777" w:rsidR="000266D1" w:rsidRPr="00CE2878" w:rsidRDefault="000266D1" w:rsidP="000266D1">
            <w:pPr>
              <w:pStyle w:val="TableText0"/>
              <w:keepNext w:val="0"/>
              <w:rPr>
                <w:sz w:val="20"/>
              </w:rPr>
            </w:pPr>
          </w:p>
        </w:tc>
        <w:tc>
          <w:tcPr>
            <w:tcW w:w="3402" w:type="dxa"/>
            <w:shd w:val="clear" w:color="auto" w:fill="auto"/>
          </w:tcPr>
          <w:p w14:paraId="4E2B0B68" w14:textId="04D05168" w:rsidR="000266D1" w:rsidRPr="00FE052A" w:rsidRDefault="000266D1" w:rsidP="000266D1">
            <w:pPr>
              <w:pStyle w:val="TableBullet"/>
            </w:pPr>
            <w:r w:rsidRPr="00FE052A">
              <w:t>Role descriptions as per BIMS/ICS are in place and applied</w:t>
            </w:r>
          </w:p>
          <w:p w14:paraId="64617C8E" w14:textId="3C7BE97D" w:rsidR="000266D1" w:rsidRPr="00FE052A" w:rsidRDefault="000266D1" w:rsidP="000266D1">
            <w:pPr>
              <w:pStyle w:val="TableBullet"/>
            </w:pPr>
            <w:r w:rsidRPr="00FE052A">
              <w:t>Formal recruitment undertaken to fill key positions where response is protracted (eg</w:t>
            </w:r>
            <w:r>
              <w:t> </w:t>
            </w:r>
            <w:r w:rsidRPr="00FE052A">
              <w:t>&gt;8</w:t>
            </w:r>
            <w:r>
              <w:t>–</w:t>
            </w:r>
            <w:r w:rsidRPr="00FE052A">
              <w:t>10 weeks)</w:t>
            </w:r>
          </w:p>
          <w:p w14:paraId="0AF44362" w14:textId="78B93B25" w:rsidR="000266D1" w:rsidRPr="00FE052A" w:rsidRDefault="000266D1" w:rsidP="000266D1">
            <w:pPr>
              <w:pStyle w:val="TableBullet"/>
            </w:pPr>
            <w:r w:rsidRPr="00FE052A">
              <w:t>Performance management approach adopted for majority of roles</w:t>
            </w:r>
          </w:p>
          <w:p w14:paraId="57C9BA60" w14:textId="4A166907" w:rsidR="000266D1" w:rsidRPr="00FE052A" w:rsidRDefault="000266D1" w:rsidP="000266D1">
            <w:pPr>
              <w:pStyle w:val="TableBullet"/>
            </w:pPr>
            <w:r w:rsidRPr="00FE052A">
              <w:t>Just</w:t>
            </w:r>
            <w:r>
              <w:t>-</w:t>
            </w:r>
            <w:r w:rsidRPr="00FE052A">
              <w:t>in</w:t>
            </w:r>
            <w:r>
              <w:t>-</w:t>
            </w:r>
            <w:r w:rsidRPr="00FE052A">
              <w:t xml:space="preserve">time training and assessment undertaken to fill </w:t>
            </w:r>
            <w:r>
              <w:t>‘</w:t>
            </w:r>
            <w:r w:rsidRPr="00FE052A">
              <w:t>gaps</w:t>
            </w:r>
            <w:r>
              <w:t>’</w:t>
            </w:r>
          </w:p>
        </w:tc>
      </w:tr>
      <w:tr w:rsidR="000266D1" w:rsidRPr="00CE2878" w14:paraId="423AA068" w14:textId="77777777" w:rsidTr="004E4C48">
        <w:trPr>
          <w:trHeight w:val="230"/>
        </w:trPr>
        <w:tc>
          <w:tcPr>
            <w:tcW w:w="2376" w:type="dxa"/>
            <w:vMerge/>
            <w:shd w:val="clear" w:color="auto" w:fill="auto"/>
          </w:tcPr>
          <w:p w14:paraId="239E1224" w14:textId="77777777" w:rsidR="000266D1" w:rsidRPr="00EB22EF" w:rsidRDefault="000266D1" w:rsidP="000266D1">
            <w:pPr>
              <w:pStyle w:val="TableText0"/>
              <w:keepNext w:val="0"/>
              <w:rPr>
                <w:sz w:val="18"/>
                <w:szCs w:val="18"/>
              </w:rPr>
            </w:pPr>
          </w:p>
        </w:tc>
        <w:tc>
          <w:tcPr>
            <w:tcW w:w="993" w:type="dxa"/>
            <w:vMerge/>
            <w:shd w:val="clear" w:color="auto" w:fill="auto"/>
          </w:tcPr>
          <w:p w14:paraId="022ABEE1" w14:textId="77777777" w:rsidR="000266D1" w:rsidRPr="00CE2878" w:rsidRDefault="000266D1" w:rsidP="000266D1">
            <w:pPr>
              <w:pStyle w:val="TableText0"/>
              <w:keepNext w:val="0"/>
              <w:rPr>
                <w:sz w:val="20"/>
              </w:rPr>
            </w:pPr>
          </w:p>
        </w:tc>
        <w:tc>
          <w:tcPr>
            <w:tcW w:w="992" w:type="dxa"/>
            <w:vMerge/>
            <w:shd w:val="clear" w:color="auto" w:fill="auto"/>
          </w:tcPr>
          <w:p w14:paraId="3CE98260" w14:textId="77777777" w:rsidR="000266D1" w:rsidRPr="00CE2878" w:rsidRDefault="000266D1" w:rsidP="000266D1">
            <w:pPr>
              <w:pStyle w:val="TableText0"/>
              <w:keepNext w:val="0"/>
              <w:rPr>
                <w:sz w:val="20"/>
              </w:rPr>
            </w:pPr>
          </w:p>
        </w:tc>
        <w:tc>
          <w:tcPr>
            <w:tcW w:w="1701" w:type="dxa"/>
            <w:vMerge/>
            <w:shd w:val="clear" w:color="auto" w:fill="auto"/>
          </w:tcPr>
          <w:p w14:paraId="653B5F09" w14:textId="77777777" w:rsidR="000266D1" w:rsidRPr="00CE2878" w:rsidRDefault="000266D1" w:rsidP="000266D1">
            <w:pPr>
              <w:pStyle w:val="TableText0"/>
              <w:keepNext w:val="0"/>
              <w:rPr>
                <w:sz w:val="20"/>
              </w:rPr>
            </w:pPr>
          </w:p>
        </w:tc>
        <w:tc>
          <w:tcPr>
            <w:tcW w:w="3402" w:type="dxa"/>
            <w:shd w:val="clear" w:color="auto" w:fill="FFCC99"/>
          </w:tcPr>
          <w:p w14:paraId="31B9DC06" w14:textId="77777777" w:rsidR="000266D1" w:rsidRPr="00EB22EF" w:rsidRDefault="000266D1" w:rsidP="000266D1">
            <w:pPr>
              <w:pStyle w:val="TableText0"/>
              <w:keepNext w:val="0"/>
              <w:rPr>
                <w:sz w:val="16"/>
                <w:szCs w:val="16"/>
              </w:rPr>
            </w:pPr>
          </w:p>
        </w:tc>
      </w:tr>
      <w:tr w:rsidR="000266D1" w:rsidRPr="00CE2878" w14:paraId="18DDBAB0" w14:textId="77777777" w:rsidTr="004E4C48">
        <w:trPr>
          <w:trHeight w:val="2417"/>
        </w:trPr>
        <w:tc>
          <w:tcPr>
            <w:tcW w:w="2376" w:type="dxa"/>
            <w:vMerge w:val="restart"/>
            <w:shd w:val="clear" w:color="auto" w:fill="auto"/>
          </w:tcPr>
          <w:p w14:paraId="5E288188" w14:textId="77777777" w:rsidR="000266D1" w:rsidRPr="00FE052A" w:rsidRDefault="000266D1" w:rsidP="000266D1">
            <w:pPr>
              <w:pStyle w:val="TableText0"/>
              <w:keepNext w:val="0"/>
              <w:ind w:left="426" w:hanging="426"/>
            </w:pPr>
            <w:r>
              <w:t>2.3</w:t>
            </w:r>
            <w:r>
              <w:tab/>
            </w:r>
            <w:r w:rsidRPr="00FE052A">
              <w:t>Infected host movement</w:t>
            </w:r>
          </w:p>
        </w:tc>
        <w:tc>
          <w:tcPr>
            <w:tcW w:w="993" w:type="dxa"/>
            <w:vMerge w:val="restart"/>
            <w:shd w:val="clear" w:color="auto" w:fill="auto"/>
          </w:tcPr>
          <w:p w14:paraId="52FE30BF" w14:textId="77777777" w:rsidR="000266D1" w:rsidRPr="00FE052A" w:rsidRDefault="000266D1" w:rsidP="000266D1">
            <w:pPr>
              <w:pStyle w:val="TableText0"/>
              <w:keepNext w:val="0"/>
            </w:pPr>
          </w:p>
        </w:tc>
        <w:tc>
          <w:tcPr>
            <w:tcW w:w="992" w:type="dxa"/>
            <w:vMerge w:val="restart"/>
            <w:shd w:val="clear" w:color="auto" w:fill="auto"/>
          </w:tcPr>
          <w:p w14:paraId="7CA0F044" w14:textId="77777777" w:rsidR="000266D1" w:rsidRPr="00FE052A" w:rsidRDefault="000266D1" w:rsidP="000266D1">
            <w:pPr>
              <w:pStyle w:val="TableText0"/>
              <w:keepNext w:val="0"/>
            </w:pPr>
          </w:p>
        </w:tc>
        <w:tc>
          <w:tcPr>
            <w:tcW w:w="1701" w:type="dxa"/>
            <w:vMerge w:val="restart"/>
            <w:shd w:val="clear" w:color="auto" w:fill="auto"/>
          </w:tcPr>
          <w:p w14:paraId="452E5B96" w14:textId="77777777" w:rsidR="000266D1" w:rsidRPr="00FE052A" w:rsidRDefault="000266D1" w:rsidP="000266D1">
            <w:pPr>
              <w:pStyle w:val="TableText0"/>
              <w:keepNext w:val="0"/>
            </w:pPr>
          </w:p>
        </w:tc>
        <w:tc>
          <w:tcPr>
            <w:tcW w:w="3402" w:type="dxa"/>
            <w:shd w:val="clear" w:color="auto" w:fill="auto"/>
          </w:tcPr>
          <w:p w14:paraId="1E7C5F23" w14:textId="58C80F6D" w:rsidR="000266D1" w:rsidRPr="00FE052A" w:rsidRDefault="000266D1" w:rsidP="000266D1">
            <w:pPr>
              <w:pStyle w:val="TableBullet"/>
            </w:pPr>
            <w:r w:rsidRPr="00FE052A">
              <w:t>Legislation used to implement movement management areas</w:t>
            </w:r>
          </w:p>
          <w:p w14:paraId="245A8CCC" w14:textId="0E04B94B" w:rsidR="000266D1" w:rsidRPr="00FE052A" w:rsidRDefault="000266D1" w:rsidP="000266D1">
            <w:pPr>
              <w:pStyle w:val="TableBullet"/>
            </w:pPr>
            <w:r w:rsidRPr="00FE052A">
              <w:t>Prosecution</w:t>
            </w:r>
            <w:r>
              <w:t>,</w:t>
            </w:r>
            <w:r w:rsidRPr="00FE052A">
              <w:t xml:space="preserve"> where applicable</w:t>
            </w:r>
          </w:p>
          <w:p w14:paraId="40D821BC" w14:textId="66452CEA" w:rsidR="000266D1" w:rsidRPr="00FE052A" w:rsidRDefault="000266D1" w:rsidP="000266D1">
            <w:pPr>
              <w:pStyle w:val="TableBullet"/>
            </w:pPr>
            <w:bookmarkStart w:id="122" w:name="_Hlk527627306"/>
            <w:r w:rsidRPr="003759EC">
              <w:t>Movement Control Plan</w:t>
            </w:r>
            <w:bookmarkEnd w:id="122"/>
            <w:r w:rsidRPr="00FE052A">
              <w:t xml:space="preserve"> developed, implemented and monitored</w:t>
            </w:r>
          </w:p>
          <w:p w14:paraId="3E9308E8" w14:textId="5B1893AD" w:rsidR="000266D1" w:rsidRPr="00FE052A" w:rsidRDefault="000266D1" w:rsidP="000266D1">
            <w:pPr>
              <w:pStyle w:val="TableBullet"/>
            </w:pPr>
            <w:r w:rsidRPr="00FE052A">
              <w:t xml:space="preserve">Compliance activities undertaken in structured and systematic way to ensure </w:t>
            </w:r>
            <w:r>
              <w:t xml:space="preserve">that </w:t>
            </w:r>
            <w:r w:rsidRPr="00FE052A">
              <w:t>movement controls are effective</w:t>
            </w:r>
          </w:p>
          <w:p w14:paraId="29C97D6E" w14:textId="162AD44C" w:rsidR="000266D1" w:rsidRPr="00FE052A" w:rsidRDefault="000266D1" w:rsidP="000266D1">
            <w:pPr>
              <w:pStyle w:val="TableBullet"/>
            </w:pPr>
            <w:r w:rsidRPr="00FE052A">
              <w:t xml:space="preserve">Communications and Community </w:t>
            </w:r>
            <w:r>
              <w:t>Engagement</w:t>
            </w:r>
            <w:r w:rsidRPr="00FE052A">
              <w:t xml:space="preserve"> Program used to educate community and partners to support management of risk movements</w:t>
            </w:r>
          </w:p>
          <w:p w14:paraId="31DDB3F0" w14:textId="37A13533" w:rsidR="000266D1" w:rsidRPr="00FE052A" w:rsidRDefault="000266D1" w:rsidP="000266D1">
            <w:pPr>
              <w:pStyle w:val="TableBullet"/>
            </w:pPr>
            <w:r w:rsidRPr="00FE052A">
              <w:t xml:space="preserve">Review and audit to </w:t>
            </w:r>
            <w:r>
              <w:t>confirm</w:t>
            </w:r>
            <w:r w:rsidRPr="00FE052A">
              <w:t xml:space="preserve"> </w:t>
            </w:r>
            <w:r>
              <w:t xml:space="preserve">that </w:t>
            </w:r>
            <w:r w:rsidRPr="00FE052A">
              <w:t>movement measures are meeting milestones</w:t>
            </w:r>
          </w:p>
          <w:p w14:paraId="214CC2E6" w14:textId="5BC4637C" w:rsidR="000266D1" w:rsidRPr="00FE052A" w:rsidRDefault="000266D1" w:rsidP="000266D1">
            <w:pPr>
              <w:pStyle w:val="TableBullet"/>
            </w:pPr>
            <w:r w:rsidRPr="00FE052A">
              <w:t xml:space="preserve">Everyday factors </w:t>
            </w:r>
            <w:r w:rsidR="00E2382F">
              <w:t>such</w:t>
            </w:r>
            <w:r w:rsidRPr="00FE052A">
              <w:t xml:space="preserve"> as distance, distribution of hosts and natural dispersal pattern limit dispersal</w:t>
            </w:r>
          </w:p>
        </w:tc>
      </w:tr>
      <w:tr w:rsidR="000266D1" w:rsidRPr="00CE2878" w14:paraId="3F2392BD" w14:textId="77777777" w:rsidTr="004E4C48">
        <w:trPr>
          <w:trHeight w:val="68"/>
        </w:trPr>
        <w:tc>
          <w:tcPr>
            <w:tcW w:w="2376" w:type="dxa"/>
            <w:vMerge/>
            <w:shd w:val="clear" w:color="auto" w:fill="auto"/>
          </w:tcPr>
          <w:p w14:paraId="0D4FB035" w14:textId="77777777" w:rsidR="000266D1" w:rsidRPr="00FE052A" w:rsidRDefault="000266D1" w:rsidP="000266D1">
            <w:pPr>
              <w:pStyle w:val="TableText0"/>
              <w:keepNext w:val="0"/>
            </w:pPr>
          </w:p>
        </w:tc>
        <w:tc>
          <w:tcPr>
            <w:tcW w:w="993" w:type="dxa"/>
            <w:vMerge/>
            <w:shd w:val="clear" w:color="auto" w:fill="auto"/>
          </w:tcPr>
          <w:p w14:paraId="4527928F" w14:textId="77777777" w:rsidR="000266D1" w:rsidRPr="00FE052A" w:rsidRDefault="000266D1" w:rsidP="000266D1">
            <w:pPr>
              <w:pStyle w:val="TableText0"/>
              <w:keepNext w:val="0"/>
            </w:pPr>
          </w:p>
        </w:tc>
        <w:tc>
          <w:tcPr>
            <w:tcW w:w="992" w:type="dxa"/>
            <w:vMerge/>
            <w:shd w:val="clear" w:color="auto" w:fill="auto"/>
          </w:tcPr>
          <w:p w14:paraId="1A2E3F5C" w14:textId="77777777" w:rsidR="000266D1" w:rsidRPr="00FE052A" w:rsidRDefault="000266D1" w:rsidP="000266D1">
            <w:pPr>
              <w:pStyle w:val="TableText0"/>
              <w:keepNext w:val="0"/>
            </w:pPr>
          </w:p>
        </w:tc>
        <w:tc>
          <w:tcPr>
            <w:tcW w:w="1701" w:type="dxa"/>
            <w:vMerge/>
            <w:shd w:val="clear" w:color="auto" w:fill="auto"/>
          </w:tcPr>
          <w:p w14:paraId="7B4163DE" w14:textId="77777777" w:rsidR="000266D1" w:rsidRPr="00FE052A" w:rsidRDefault="000266D1" w:rsidP="000266D1">
            <w:pPr>
              <w:pStyle w:val="TableText0"/>
              <w:keepNext w:val="0"/>
            </w:pPr>
          </w:p>
        </w:tc>
        <w:tc>
          <w:tcPr>
            <w:tcW w:w="3402" w:type="dxa"/>
            <w:shd w:val="clear" w:color="auto" w:fill="FFCC99"/>
          </w:tcPr>
          <w:p w14:paraId="16A12560" w14:textId="77777777" w:rsidR="000266D1" w:rsidRPr="00FE052A" w:rsidRDefault="000266D1" w:rsidP="000266D1">
            <w:pPr>
              <w:pStyle w:val="TableText0"/>
              <w:keepNext w:val="0"/>
            </w:pPr>
          </w:p>
        </w:tc>
      </w:tr>
      <w:tr w:rsidR="000266D1" w:rsidRPr="00CE2878" w14:paraId="2655B996" w14:textId="77777777" w:rsidTr="004E4C48">
        <w:trPr>
          <w:trHeight w:val="1066"/>
        </w:trPr>
        <w:tc>
          <w:tcPr>
            <w:tcW w:w="2376" w:type="dxa"/>
            <w:vMerge w:val="restart"/>
            <w:shd w:val="clear" w:color="auto" w:fill="auto"/>
          </w:tcPr>
          <w:p w14:paraId="52C145B5" w14:textId="77777777" w:rsidR="000266D1" w:rsidRPr="00FE052A" w:rsidRDefault="000266D1" w:rsidP="000266D1">
            <w:pPr>
              <w:pStyle w:val="TableText0"/>
              <w:keepNext w:val="0"/>
              <w:ind w:left="426" w:hanging="426"/>
            </w:pPr>
            <w:r>
              <w:t>2.4</w:t>
            </w:r>
            <w:r>
              <w:tab/>
            </w:r>
            <w:r w:rsidRPr="00FE052A">
              <w:t>Ability to find and access hosts</w:t>
            </w:r>
          </w:p>
        </w:tc>
        <w:tc>
          <w:tcPr>
            <w:tcW w:w="993" w:type="dxa"/>
            <w:vMerge w:val="restart"/>
            <w:shd w:val="clear" w:color="auto" w:fill="auto"/>
          </w:tcPr>
          <w:p w14:paraId="5B9C23EB" w14:textId="77777777" w:rsidR="000266D1" w:rsidRPr="00FE052A" w:rsidRDefault="000266D1" w:rsidP="000266D1">
            <w:pPr>
              <w:pStyle w:val="TableText0"/>
              <w:keepNext w:val="0"/>
            </w:pPr>
          </w:p>
        </w:tc>
        <w:tc>
          <w:tcPr>
            <w:tcW w:w="992" w:type="dxa"/>
            <w:vMerge w:val="restart"/>
            <w:shd w:val="clear" w:color="auto" w:fill="auto"/>
          </w:tcPr>
          <w:p w14:paraId="101ACF2F" w14:textId="77777777" w:rsidR="000266D1" w:rsidRPr="00FE052A" w:rsidRDefault="000266D1" w:rsidP="000266D1">
            <w:pPr>
              <w:pStyle w:val="TableText0"/>
              <w:keepNext w:val="0"/>
            </w:pPr>
          </w:p>
        </w:tc>
        <w:tc>
          <w:tcPr>
            <w:tcW w:w="1701" w:type="dxa"/>
            <w:vMerge w:val="restart"/>
            <w:shd w:val="clear" w:color="auto" w:fill="auto"/>
          </w:tcPr>
          <w:p w14:paraId="6F8AE542" w14:textId="77777777" w:rsidR="000266D1" w:rsidRPr="00FE052A" w:rsidRDefault="000266D1" w:rsidP="000266D1">
            <w:pPr>
              <w:pStyle w:val="TableText0"/>
              <w:keepNext w:val="0"/>
            </w:pPr>
          </w:p>
        </w:tc>
        <w:tc>
          <w:tcPr>
            <w:tcW w:w="3402" w:type="dxa"/>
            <w:shd w:val="clear" w:color="auto" w:fill="auto"/>
          </w:tcPr>
          <w:p w14:paraId="3E8A151B" w14:textId="5AA2F08C" w:rsidR="000266D1" w:rsidRPr="00FE052A" w:rsidRDefault="000266D1" w:rsidP="000266D1">
            <w:pPr>
              <w:pStyle w:val="TableBullet"/>
            </w:pPr>
            <w:r w:rsidRPr="00FE052A">
              <w:t xml:space="preserve">Structured and systematic approach to identification of hosts. This includes matching </w:t>
            </w:r>
            <w:r>
              <w:t xml:space="preserve">the </w:t>
            </w:r>
            <w:r w:rsidRPr="00FE052A">
              <w:t>level of effort to the level of difficulty</w:t>
            </w:r>
            <w:r>
              <w:t>,</w:t>
            </w:r>
            <w:r w:rsidRPr="00FE052A">
              <w:t xml:space="preserve"> and systematic assessment of each area/zone</w:t>
            </w:r>
          </w:p>
          <w:p w14:paraId="52587783" w14:textId="37F30333" w:rsidR="000266D1" w:rsidRPr="00FE052A" w:rsidRDefault="000266D1" w:rsidP="000266D1">
            <w:pPr>
              <w:pStyle w:val="TableBullet"/>
            </w:pPr>
            <w:r w:rsidRPr="00FE052A">
              <w:t>Data collection, collation and analysis undertaken to monitor progress and identify gaps in knowledge of distribution</w:t>
            </w:r>
          </w:p>
          <w:p w14:paraId="26EDBA1A" w14:textId="11281E9B" w:rsidR="000266D1" w:rsidRPr="00FE052A" w:rsidRDefault="000266D1" w:rsidP="000266D1">
            <w:pPr>
              <w:pStyle w:val="TableBullet"/>
            </w:pPr>
            <w:r w:rsidRPr="00FE052A">
              <w:t xml:space="preserve">Review and audit to </w:t>
            </w:r>
            <w:r>
              <w:t>confirm that</w:t>
            </w:r>
            <w:r w:rsidRPr="00FE052A">
              <w:t xml:space="preserve"> movement measures are meeting milestones</w:t>
            </w:r>
          </w:p>
          <w:p w14:paraId="0909454D" w14:textId="47EE61F5" w:rsidR="000266D1" w:rsidRPr="00FE052A" w:rsidRDefault="000266D1" w:rsidP="000266D1">
            <w:pPr>
              <w:pStyle w:val="TableBullet"/>
            </w:pPr>
            <w:bookmarkStart w:id="123" w:name="_Hlk527532493"/>
            <w:r w:rsidRPr="00BF6217">
              <w:t>Communications and Community Engagement Program</w:t>
            </w:r>
            <w:bookmarkEnd w:id="123"/>
            <w:r w:rsidRPr="00BF6217">
              <w:t xml:space="preserve"> encourages</w:t>
            </w:r>
            <w:r w:rsidRPr="00FE052A">
              <w:t xml:space="preserve"> community and partners to report </w:t>
            </w:r>
            <w:r>
              <w:t>and</w:t>
            </w:r>
            <w:r w:rsidRPr="00FE052A">
              <w:t xml:space="preserve"> identify hosts</w:t>
            </w:r>
          </w:p>
          <w:p w14:paraId="43B443E2" w14:textId="1F30C4C7" w:rsidR="000266D1" w:rsidRPr="00FE052A" w:rsidRDefault="000266D1" w:rsidP="000266D1">
            <w:pPr>
              <w:pStyle w:val="TableBullet"/>
            </w:pPr>
            <w:r w:rsidRPr="00FE052A">
              <w:t xml:space="preserve">Call </w:t>
            </w:r>
            <w:r>
              <w:t>c</w:t>
            </w:r>
            <w:r w:rsidRPr="00FE052A">
              <w:t>entre in place to process reports</w:t>
            </w:r>
          </w:p>
          <w:p w14:paraId="759D15AE" w14:textId="07FE96B3" w:rsidR="000266D1" w:rsidRPr="00FE052A" w:rsidRDefault="000266D1" w:rsidP="000266D1">
            <w:pPr>
              <w:pStyle w:val="TableBullet"/>
            </w:pPr>
            <w:r>
              <w:t>A</w:t>
            </w:r>
            <w:r w:rsidRPr="00FE052A">
              <w:t xml:space="preserve">lternative technologies </w:t>
            </w:r>
            <w:r>
              <w:t xml:space="preserve">used </w:t>
            </w:r>
            <w:r w:rsidRPr="00FE052A">
              <w:t>to locate hosts</w:t>
            </w:r>
          </w:p>
        </w:tc>
      </w:tr>
      <w:tr w:rsidR="000266D1" w:rsidRPr="00CE2878" w14:paraId="6C719141" w14:textId="77777777" w:rsidTr="004E4C48">
        <w:trPr>
          <w:trHeight w:val="206"/>
        </w:trPr>
        <w:tc>
          <w:tcPr>
            <w:tcW w:w="2376" w:type="dxa"/>
            <w:vMerge/>
            <w:shd w:val="clear" w:color="auto" w:fill="auto"/>
          </w:tcPr>
          <w:p w14:paraId="41BD6F42" w14:textId="77777777" w:rsidR="000266D1" w:rsidRPr="00FE052A" w:rsidRDefault="000266D1" w:rsidP="000266D1">
            <w:pPr>
              <w:pStyle w:val="TableText0"/>
              <w:keepNext w:val="0"/>
            </w:pPr>
          </w:p>
        </w:tc>
        <w:tc>
          <w:tcPr>
            <w:tcW w:w="993" w:type="dxa"/>
            <w:vMerge/>
            <w:shd w:val="clear" w:color="auto" w:fill="auto"/>
          </w:tcPr>
          <w:p w14:paraId="1B62008F" w14:textId="77777777" w:rsidR="000266D1" w:rsidRPr="00FE052A" w:rsidRDefault="000266D1" w:rsidP="000266D1">
            <w:pPr>
              <w:pStyle w:val="TableText0"/>
              <w:keepNext w:val="0"/>
            </w:pPr>
          </w:p>
        </w:tc>
        <w:tc>
          <w:tcPr>
            <w:tcW w:w="992" w:type="dxa"/>
            <w:vMerge/>
            <w:shd w:val="clear" w:color="auto" w:fill="auto"/>
          </w:tcPr>
          <w:p w14:paraId="19BC2FAA" w14:textId="77777777" w:rsidR="000266D1" w:rsidRPr="00FE052A" w:rsidRDefault="000266D1" w:rsidP="000266D1">
            <w:pPr>
              <w:pStyle w:val="TableText0"/>
              <w:keepNext w:val="0"/>
            </w:pPr>
          </w:p>
        </w:tc>
        <w:tc>
          <w:tcPr>
            <w:tcW w:w="1701" w:type="dxa"/>
            <w:vMerge/>
            <w:shd w:val="clear" w:color="auto" w:fill="auto"/>
          </w:tcPr>
          <w:p w14:paraId="637D4BB2" w14:textId="77777777" w:rsidR="000266D1" w:rsidRPr="00FE052A" w:rsidRDefault="000266D1" w:rsidP="000266D1">
            <w:pPr>
              <w:pStyle w:val="TableText0"/>
              <w:keepNext w:val="0"/>
            </w:pPr>
          </w:p>
        </w:tc>
        <w:tc>
          <w:tcPr>
            <w:tcW w:w="3402" w:type="dxa"/>
            <w:shd w:val="clear" w:color="auto" w:fill="CCFFCC"/>
          </w:tcPr>
          <w:p w14:paraId="58CDDBAE" w14:textId="77777777" w:rsidR="000266D1" w:rsidRPr="00FE052A" w:rsidRDefault="000266D1" w:rsidP="000266D1">
            <w:pPr>
              <w:pStyle w:val="TableText0"/>
              <w:keepNext w:val="0"/>
            </w:pPr>
          </w:p>
        </w:tc>
      </w:tr>
      <w:tr w:rsidR="000266D1" w:rsidRPr="00CE2878" w14:paraId="373B1E11" w14:textId="77777777" w:rsidTr="004E4C48">
        <w:trPr>
          <w:trHeight w:val="50"/>
        </w:trPr>
        <w:tc>
          <w:tcPr>
            <w:tcW w:w="2376" w:type="dxa"/>
            <w:vMerge w:val="restart"/>
            <w:shd w:val="clear" w:color="auto" w:fill="auto"/>
          </w:tcPr>
          <w:p w14:paraId="5BDE4BCB" w14:textId="77777777" w:rsidR="000266D1" w:rsidRPr="00FE052A" w:rsidRDefault="000266D1" w:rsidP="000266D1">
            <w:pPr>
              <w:pStyle w:val="TableText0"/>
              <w:keepNext w:val="0"/>
              <w:ind w:left="426" w:hanging="426"/>
            </w:pPr>
            <w:r>
              <w:t>2.5</w:t>
            </w:r>
            <w:r>
              <w:tab/>
            </w:r>
            <w:r w:rsidRPr="00FE052A">
              <w:t>Significant injury/death in response workforce</w:t>
            </w:r>
          </w:p>
        </w:tc>
        <w:tc>
          <w:tcPr>
            <w:tcW w:w="993" w:type="dxa"/>
            <w:vMerge w:val="restart"/>
            <w:shd w:val="clear" w:color="auto" w:fill="auto"/>
          </w:tcPr>
          <w:p w14:paraId="7A0E9B36" w14:textId="77777777" w:rsidR="000266D1" w:rsidRPr="00FE052A" w:rsidRDefault="000266D1" w:rsidP="000266D1">
            <w:pPr>
              <w:pStyle w:val="TableText0"/>
              <w:keepNext w:val="0"/>
            </w:pPr>
          </w:p>
        </w:tc>
        <w:tc>
          <w:tcPr>
            <w:tcW w:w="992" w:type="dxa"/>
            <w:vMerge w:val="restart"/>
            <w:shd w:val="clear" w:color="auto" w:fill="auto"/>
          </w:tcPr>
          <w:p w14:paraId="1D65591C" w14:textId="77777777" w:rsidR="000266D1" w:rsidRPr="00FE052A" w:rsidRDefault="000266D1" w:rsidP="000266D1">
            <w:pPr>
              <w:pStyle w:val="TableText0"/>
              <w:keepNext w:val="0"/>
            </w:pPr>
          </w:p>
        </w:tc>
        <w:tc>
          <w:tcPr>
            <w:tcW w:w="1701" w:type="dxa"/>
            <w:vMerge w:val="restart"/>
            <w:shd w:val="clear" w:color="auto" w:fill="auto"/>
          </w:tcPr>
          <w:p w14:paraId="54184FA0" w14:textId="77777777" w:rsidR="000266D1" w:rsidRPr="00FE052A" w:rsidRDefault="000266D1" w:rsidP="000266D1">
            <w:pPr>
              <w:pStyle w:val="TableText0"/>
              <w:keepNext w:val="0"/>
            </w:pPr>
          </w:p>
        </w:tc>
        <w:tc>
          <w:tcPr>
            <w:tcW w:w="3402" w:type="dxa"/>
            <w:shd w:val="clear" w:color="auto" w:fill="auto"/>
          </w:tcPr>
          <w:p w14:paraId="43B39FC4" w14:textId="4CE81849" w:rsidR="000266D1" w:rsidRPr="007B3ABA" w:rsidRDefault="000266D1" w:rsidP="000266D1">
            <w:pPr>
              <w:pStyle w:val="TableBullet"/>
            </w:pPr>
            <w:r w:rsidRPr="007B3ABA">
              <w:t>WHS system in place, including monitoring and review (AAR, audits – self and third party)</w:t>
            </w:r>
          </w:p>
          <w:p w14:paraId="5D04F898" w14:textId="7EF87864" w:rsidR="000266D1" w:rsidRPr="007B3ABA" w:rsidRDefault="000266D1" w:rsidP="000266D1">
            <w:pPr>
              <w:pStyle w:val="TableBullet"/>
            </w:pPr>
            <w:r w:rsidRPr="007B3ABA">
              <w:t>Induction compulsory</w:t>
            </w:r>
          </w:p>
          <w:p w14:paraId="22C1C99E" w14:textId="1D2F864C" w:rsidR="000266D1" w:rsidRPr="007B3ABA" w:rsidRDefault="000266D1" w:rsidP="000266D1">
            <w:pPr>
              <w:pStyle w:val="TableBullet"/>
            </w:pPr>
            <w:r w:rsidRPr="007B3ABA">
              <w:t>Medical plan part of IAP</w:t>
            </w:r>
          </w:p>
          <w:p w14:paraId="7F608989" w14:textId="433FCFBA" w:rsidR="000266D1" w:rsidRPr="00FE052A" w:rsidRDefault="000266D1" w:rsidP="000266D1">
            <w:pPr>
              <w:pStyle w:val="TableBullet"/>
            </w:pPr>
            <w:r w:rsidRPr="00FE052A">
              <w:t>Safety Manager in place</w:t>
            </w:r>
          </w:p>
          <w:p w14:paraId="3589567D" w14:textId="2B412763" w:rsidR="000266D1" w:rsidRPr="00FE052A" w:rsidRDefault="000266D1" w:rsidP="000266D1">
            <w:pPr>
              <w:pStyle w:val="TableBullet"/>
            </w:pPr>
            <w:r w:rsidRPr="00FE052A">
              <w:t>Administrative controls</w:t>
            </w:r>
            <w:r>
              <w:t xml:space="preserve"> in place,</w:t>
            </w:r>
            <w:r w:rsidRPr="00FE052A">
              <w:t xml:space="preserve"> including</w:t>
            </w:r>
            <w:r>
              <w:t xml:space="preserve"> r</w:t>
            </w:r>
            <w:r w:rsidRPr="00FE052A">
              <w:t xml:space="preserve">isk assessments, </w:t>
            </w:r>
            <w:r>
              <w:t>s</w:t>
            </w:r>
            <w:r w:rsidRPr="00FE052A">
              <w:t>afe work method statements, procedures and training</w:t>
            </w:r>
          </w:p>
          <w:p w14:paraId="70C7CDB4" w14:textId="7D90B9C2" w:rsidR="000266D1" w:rsidRPr="00FE052A" w:rsidRDefault="000266D1" w:rsidP="000266D1">
            <w:pPr>
              <w:pStyle w:val="TableBullet"/>
            </w:pPr>
            <w:r w:rsidRPr="00FE052A">
              <w:t>Incident reporting system in place</w:t>
            </w:r>
          </w:p>
          <w:p w14:paraId="3C2B597E" w14:textId="2C8004E9" w:rsidR="000266D1" w:rsidRPr="00FE052A" w:rsidRDefault="000266D1" w:rsidP="000266D1">
            <w:pPr>
              <w:pStyle w:val="TableBullet"/>
            </w:pPr>
            <w:r w:rsidRPr="00FE052A">
              <w:t>Workplace culture is well developed to support best practice –</w:t>
            </w:r>
            <w:r>
              <w:t xml:space="preserve"> </w:t>
            </w:r>
            <w:r w:rsidRPr="00FE052A">
              <w:t xml:space="preserve">personnel </w:t>
            </w:r>
            <w:r>
              <w:t xml:space="preserve">are empowered </w:t>
            </w:r>
            <w:r w:rsidRPr="00FE052A">
              <w:t>to not undertake task if not safe</w:t>
            </w:r>
          </w:p>
          <w:p w14:paraId="66150E36" w14:textId="46492813" w:rsidR="000266D1" w:rsidRPr="00FE052A" w:rsidRDefault="000266D1" w:rsidP="000266D1">
            <w:pPr>
              <w:pStyle w:val="TableBullet"/>
            </w:pPr>
            <w:r w:rsidRPr="00FE052A">
              <w:t>WHS procedures are tested</w:t>
            </w:r>
          </w:p>
          <w:p w14:paraId="50CF2CD8" w14:textId="39C2D1DD" w:rsidR="000266D1" w:rsidRPr="00FE052A" w:rsidRDefault="000266D1" w:rsidP="000266D1">
            <w:pPr>
              <w:pStyle w:val="TableBullet"/>
            </w:pPr>
            <w:r w:rsidRPr="00FE052A">
              <w:t>Placement of right person in right role –</w:t>
            </w:r>
            <w:r>
              <w:t xml:space="preserve"> </w:t>
            </w:r>
            <w:r w:rsidRPr="00FE052A">
              <w:t xml:space="preserve">knowledge, skills, abilities, experience and physical abilities </w:t>
            </w:r>
            <w:r>
              <w:t xml:space="preserve">are matched </w:t>
            </w:r>
            <w:r w:rsidRPr="00FE052A">
              <w:t>to role/task</w:t>
            </w:r>
          </w:p>
          <w:p w14:paraId="36F844A5" w14:textId="5BCD9AF1" w:rsidR="000266D1" w:rsidRPr="00FE052A" w:rsidRDefault="000266D1" w:rsidP="000266D1">
            <w:pPr>
              <w:pStyle w:val="TableBullet"/>
            </w:pPr>
            <w:r>
              <w:t>E</w:t>
            </w:r>
            <w:r w:rsidRPr="00FE052A">
              <w:t>veryday WHS obligations</w:t>
            </w:r>
            <w:r>
              <w:t xml:space="preserve">, </w:t>
            </w:r>
            <w:r w:rsidRPr="00FE052A">
              <w:t xml:space="preserve">legislation </w:t>
            </w:r>
            <w:r>
              <w:t>and</w:t>
            </w:r>
            <w:r w:rsidRPr="00FE052A">
              <w:t xml:space="preserve"> requirements</w:t>
            </w:r>
            <w:r>
              <w:t xml:space="preserve"> are met</w:t>
            </w:r>
          </w:p>
          <w:p w14:paraId="6D6E302D" w14:textId="0A723C2B" w:rsidR="000266D1" w:rsidRPr="00FE052A" w:rsidRDefault="000266D1" w:rsidP="000266D1">
            <w:pPr>
              <w:pStyle w:val="TableBullet"/>
            </w:pPr>
            <w:r w:rsidRPr="00FE052A">
              <w:t>R</w:t>
            </w:r>
            <w:r>
              <w:t>risk assessment</w:t>
            </w:r>
            <w:r w:rsidRPr="00FE052A">
              <w:t xml:space="preserve"> undertaken for all field activities</w:t>
            </w:r>
          </w:p>
        </w:tc>
      </w:tr>
      <w:tr w:rsidR="000266D1" w:rsidRPr="00CE2878" w14:paraId="343F44F1" w14:textId="77777777" w:rsidTr="004E4C48">
        <w:trPr>
          <w:trHeight w:val="143"/>
        </w:trPr>
        <w:tc>
          <w:tcPr>
            <w:tcW w:w="2376" w:type="dxa"/>
            <w:vMerge/>
            <w:shd w:val="clear" w:color="auto" w:fill="auto"/>
          </w:tcPr>
          <w:p w14:paraId="71FD456B" w14:textId="77777777" w:rsidR="000266D1" w:rsidRPr="00EB22EF" w:rsidRDefault="000266D1" w:rsidP="000266D1">
            <w:pPr>
              <w:pStyle w:val="TableText0"/>
              <w:keepNext w:val="0"/>
              <w:rPr>
                <w:sz w:val="18"/>
                <w:szCs w:val="18"/>
              </w:rPr>
            </w:pPr>
          </w:p>
        </w:tc>
        <w:tc>
          <w:tcPr>
            <w:tcW w:w="993" w:type="dxa"/>
            <w:vMerge/>
            <w:shd w:val="clear" w:color="auto" w:fill="auto"/>
          </w:tcPr>
          <w:p w14:paraId="1C5D1282" w14:textId="77777777" w:rsidR="000266D1" w:rsidRPr="00CE2878" w:rsidRDefault="000266D1" w:rsidP="000266D1">
            <w:pPr>
              <w:pStyle w:val="TableText0"/>
              <w:keepNext w:val="0"/>
              <w:rPr>
                <w:sz w:val="20"/>
              </w:rPr>
            </w:pPr>
          </w:p>
        </w:tc>
        <w:tc>
          <w:tcPr>
            <w:tcW w:w="992" w:type="dxa"/>
            <w:vMerge/>
            <w:shd w:val="clear" w:color="auto" w:fill="auto"/>
          </w:tcPr>
          <w:p w14:paraId="399BC9A3" w14:textId="77777777" w:rsidR="000266D1" w:rsidRPr="00CE2878" w:rsidRDefault="000266D1" w:rsidP="000266D1">
            <w:pPr>
              <w:pStyle w:val="TableText0"/>
              <w:keepNext w:val="0"/>
              <w:rPr>
                <w:sz w:val="20"/>
              </w:rPr>
            </w:pPr>
          </w:p>
        </w:tc>
        <w:tc>
          <w:tcPr>
            <w:tcW w:w="1701" w:type="dxa"/>
            <w:vMerge/>
            <w:shd w:val="clear" w:color="auto" w:fill="auto"/>
          </w:tcPr>
          <w:p w14:paraId="289345D6" w14:textId="77777777" w:rsidR="000266D1" w:rsidRPr="00CE2878" w:rsidRDefault="000266D1" w:rsidP="000266D1">
            <w:pPr>
              <w:pStyle w:val="TableText0"/>
              <w:keepNext w:val="0"/>
              <w:rPr>
                <w:sz w:val="20"/>
              </w:rPr>
            </w:pPr>
          </w:p>
        </w:tc>
        <w:tc>
          <w:tcPr>
            <w:tcW w:w="3402" w:type="dxa"/>
            <w:shd w:val="clear" w:color="auto" w:fill="FFCC99"/>
          </w:tcPr>
          <w:p w14:paraId="34EAF17E" w14:textId="77777777" w:rsidR="000266D1" w:rsidRPr="00EB22EF" w:rsidRDefault="000266D1" w:rsidP="000266D1">
            <w:pPr>
              <w:pStyle w:val="TableText0"/>
              <w:keepNext w:val="0"/>
              <w:rPr>
                <w:color w:val="FF6600"/>
                <w:sz w:val="16"/>
                <w:szCs w:val="16"/>
              </w:rPr>
            </w:pPr>
          </w:p>
        </w:tc>
      </w:tr>
      <w:tr w:rsidR="000266D1" w:rsidRPr="00CE2878" w14:paraId="40097C0E" w14:textId="77777777" w:rsidTr="004E4C48">
        <w:trPr>
          <w:trHeight w:val="230"/>
        </w:trPr>
        <w:tc>
          <w:tcPr>
            <w:tcW w:w="2376" w:type="dxa"/>
            <w:vMerge w:val="restart"/>
            <w:shd w:val="clear" w:color="auto" w:fill="auto"/>
          </w:tcPr>
          <w:p w14:paraId="7A44A70A" w14:textId="77777777" w:rsidR="000266D1" w:rsidRPr="00FE052A" w:rsidRDefault="000266D1" w:rsidP="000266D1">
            <w:pPr>
              <w:pStyle w:val="TableText0"/>
              <w:keepNext w:val="0"/>
              <w:ind w:left="426" w:hanging="426"/>
            </w:pPr>
            <w:r>
              <w:t>2.6</w:t>
            </w:r>
            <w:r>
              <w:tab/>
            </w:r>
            <w:r w:rsidRPr="00FE052A">
              <w:t>Significant injury/death related to response activities in community</w:t>
            </w:r>
          </w:p>
        </w:tc>
        <w:tc>
          <w:tcPr>
            <w:tcW w:w="993" w:type="dxa"/>
            <w:vMerge w:val="restart"/>
            <w:shd w:val="clear" w:color="auto" w:fill="auto"/>
          </w:tcPr>
          <w:p w14:paraId="36C93480" w14:textId="77777777" w:rsidR="000266D1" w:rsidRPr="00FE052A" w:rsidRDefault="000266D1" w:rsidP="000266D1">
            <w:pPr>
              <w:pStyle w:val="TableText0"/>
              <w:keepNext w:val="0"/>
            </w:pPr>
          </w:p>
        </w:tc>
        <w:tc>
          <w:tcPr>
            <w:tcW w:w="992" w:type="dxa"/>
            <w:vMerge w:val="restart"/>
            <w:shd w:val="clear" w:color="auto" w:fill="auto"/>
          </w:tcPr>
          <w:p w14:paraId="5FEFF4BB" w14:textId="77777777" w:rsidR="000266D1" w:rsidRPr="00FE052A" w:rsidRDefault="000266D1" w:rsidP="000266D1">
            <w:pPr>
              <w:pStyle w:val="TableText0"/>
              <w:keepNext w:val="0"/>
            </w:pPr>
          </w:p>
        </w:tc>
        <w:tc>
          <w:tcPr>
            <w:tcW w:w="1701" w:type="dxa"/>
            <w:vMerge w:val="restart"/>
            <w:shd w:val="clear" w:color="auto" w:fill="auto"/>
          </w:tcPr>
          <w:p w14:paraId="138C88CC" w14:textId="77777777" w:rsidR="000266D1" w:rsidRPr="00FE052A" w:rsidRDefault="000266D1" w:rsidP="000266D1">
            <w:pPr>
              <w:pStyle w:val="TableText0"/>
              <w:keepNext w:val="0"/>
            </w:pPr>
          </w:p>
        </w:tc>
        <w:tc>
          <w:tcPr>
            <w:tcW w:w="3402" w:type="dxa"/>
            <w:shd w:val="clear" w:color="auto" w:fill="auto"/>
          </w:tcPr>
          <w:p w14:paraId="1168ABF1" w14:textId="77777777" w:rsidR="000266D1" w:rsidRPr="00FE052A" w:rsidRDefault="000266D1" w:rsidP="000266D1">
            <w:pPr>
              <w:pStyle w:val="TableBullet"/>
            </w:pPr>
            <w:r w:rsidRPr="00FE052A">
              <w:t>As for 2.5</w:t>
            </w:r>
          </w:p>
          <w:p w14:paraId="7798E802" w14:textId="5B7B022E" w:rsidR="000266D1" w:rsidRPr="00FE052A" w:rsidRDefault="000266D1" w:rsidP="000266D1">
            <w:pPr>
              <w:pStyle w:val="TableBullet"/>
            </w:pPr>
            <w:r w:rsidRPr="00BF6217">
              <w:t>Communication and Community Engagement Program to support achievement of WHS objectives</w:t>
            </w:r>
          </w:p>
        </w:tc>
      </w:tr>
      <w:tr w:rsidR="000266D1" w:rsidRPr="00CE2878" w14:paraId="552D6D01" w14:textId="77777777" w:rsidTr="004E4C48">
        <w:trPr>
          <w:trHeight w:val="80"/>
        </w:trPr>
        <w:tc>
          <w:tcPr>
            <w:tcW w:w="2376" w:type="dxa"/>
            <w:vMerge/>
            <w:shd w:val="clear" w:color="auto" w:fill="auto"/>
          </w:tcPr>
          <w:p w14:paraId="46E8EB25" w14:textId="77777777" w:rsidR="000266D1" w:rsidRPr="00FE052A" w:rsidRDefault="000266D1" w:rsidP="000266D1">
            <w:pPr>
              <w:pStyle w:val="TableText0"/>
              <w:keepNext w:val="0"/>
            </w:pPr>
          </w:p>
        </w:tc>
        <w:tc>
          <w:tcPr>
            <w:tcW w:w="993" w:type="dxa"/>
            <w:vMerge/>
            <w:shd w:val="clear" w:color="auto" w:fill="auto"/>
          </w:tcPr>
          <w:p w14:paraId="7091BDE9" w14:textId="77777777" w:rsidR="000266D1" w:rsidRPr="00FE052A" w:rsidRDefault="000266D1" w:rsidP="000266D1">
            <w:pPr>
              <w:pStyle w:val="TableText0"/>
              <w:keepNext w:val="0"/>
            </w:pPr>
          </w:p>
        </w:tc>
        <w:tc>
          <w:tcPr>
            <w:tcW w:w="992" w:type="dxa"/>
            <w:vMerge/>
            <w:shd w:val="clear" w:color="auto" w:fill="auto"/>
          </w:tcPr>
          <w:p w14:paraId="222F7AD3" w14:textId="77777777" w:rsidR="000266D1" w:rsidRPr="00FE052A" w:rsidRDefault="000266D1" w:rsidP="000266D1">
            <w:pPr>
              <w:pStyle w:val="TableText0"/>
              <w:keepNext w:val="0"/>
            </w:pPr>
          </w:p>
        </w:tc>
        <w:tc>
          <w:tcPr>
            <w:tcW w:w="1701" w:type="dxa"/>
            <w:vMerge/>
            <w:shd w:val="clear" w:color="auto" w:fill="auto"/>
          </w:tcPr>
          <w:p w14:paraId="1287A8C7" w14:textId="77777777" w:rsidR="000266D1" w:rsidRPr="00FE052A" w:rsidRDefault="000266D1" w:rsidP="000266D1">
            <w:pPr>
              <w:pStyle w:val="TableText0"/>
              <w:keepNext w:val="0"/>
            </w:pPr>
          </w:p>
        </w:tc>
        <w:tc>
          <w:tcPr>
            <w:tcW w:w="3402" w:type="dxa"/>
            <w:shd w:val="clear" w:color="auto" w:fill="CCFFCC"/>
          </w:tcPr>
          <w:p w14:paraId="79628FA4" w14:textId="77777777" w:rsidR="000266D1" w:rsidRPr="00FE052A" w:rsidRDefault="000266D1" w:rsidP="000266D1">
            <w:pPr>
              <w:pStyle w:val="TableText0"/>
              <w:keepNext w:val="0"/>
            </w:pPr>
          </w:p>
        </w:tc>
      </w:tr>
      <w:tr w:rsidR="000266D1" w:rsidRPr="00CE2878" w14:paraId="43EE5874" w14:textId="77777777" w:rsidTr="004E4C48">
        <w:trPr>
          <w:trHeight w:val="230"/>
        </w:trPr>
        <w:tc>
          <w:tcPr>
            <w:tcW w:w="2376" w:type="dxa"/>
            <w:vMerge w:val="restart"/>
            <w:shd w:val="clear" w:color="auto" w:fill="auto"/>
          </w:tcPr>
          <w:p w14:paraId="4ABBA4E4" w14:textId="77777777" w:rsidR="000266D1" w:rsidRPr="00FE052A" w:rsidRDefault="000266D1" w:rsidP="000266D1">
            <w:pPr>
              <w:pStyle w:val="TableText0"/>
              <w:keepNext w:val="0"/>
              <w:ind w:left="426" w:hanging="426"/>
            </w:pPr>
            <w:r>
              <w:t>2.7</w:t>
            </w:r>
            <w:r>
              <w:tab/>
            </w:r>
            <w:r w:rsidRPr="00FE052A">
              <w:t>Response does not operationally deliver on stated aim, objectives, milestones and performance indicators</w:t>
            </w:r>
          </w:p>
        </w:tc>
        <w:tc>
          <w:tcPr>
            <w:tcW w:w="993" w:type="dxa"/>
            <w:vMerge w:val="restart"/>
            <w:shd w:val="clear" w:color="auto" w:fill="auto"/>
          </w:tcPr>
          <w:p w14:paraId="1BB19D64" w14:textId="77777777" w:rsidR="000266D1" w:rsidRPr="00FE052A" w:rsidRDefault="000266D1" w:rsidP="000266D1">
            <w:pPr>
              <w:pStyle w:val="TableText0"/>
              <w:keepNext w:val="0"/>
            </w:pPr>
          </w:p>
        </w:tc>
        <w:tc>
          <w:tcPr>
            <w:tcW w:w="992" w:type="dxa"/>
            <w:vMerge w:val="restart"/>
            <w:shd w:val="clear" w:color="auto" w:fill="auto"/>
          </w:tcPr>
          <w:p w14:paraId="07EFC1A6" w14:textId="77777777" w:rsidR="000266D1" w:rsidRPr="00FE052A" w:rsidRDefault="000266D1" w:rsidP="000266D1">
            <w:pPr>
              <w:pStyle w:val="TableText0"/>
              <w:keepNext w:val="0"/>
            </w:pPr>
          </w:p>
        </w:tc>
        <w:tc>
          <w:tcPr>
            <w:tcW w:w="1701" w:type="dxa"/>
            <w:vMerge w:val="restart"/>
            <w:shd w:val="clear" w:color="auto" w:fill="auto"/>
          </w:tcPr>
          <w:p w14:paraId="13E4B940" w14:textId="77777777" w:rsidR="000266D1" w:rsidRPr="00FE052A" w:rsidRDefault="000266D1" w:rsidP="000266D1">
            <w:pPr>
              <w:pStyle w:val="TableText0"/>
              <w:keepNext w:val="0"/>
            </w:pPr>
          </w:p>
        </w:tc>
        <w:tc>
          <w:tcPr>
            <w:tcW w:w="3402" w:type="dxa"/>
            <w:shd w:val="clear" w:color="auto" w:fill="auto"/>
          </w:tcPr>
          <w:p w14:paraId="48A38BB7" w14:textId="190F8045" w:rsidR="000266D1" w:rsidRPr="00FE052A" w:rsidRDefault="000266D1" w:rsidP="000266D1">
            <w:pPr>
              <w:pStyle w:val="TableBullet"/>
            </w:pPr>
            <w:r w:rsidRPr="00FE052A">
              <w:t>Structured and systematic approach to management of operations</w:t>
            </w:r>
            <w:r>
              <w:t>,</w:t>
            </w:r>
            <w:r w:rsidRPr="00FE052A">
              <w:t xml:space="preserve"> including planning</w:t>
            </w:r>
            <w:r>
              <w:t>,</w:t>
            </w:r>
            <w:r w:rsidRPr="00FE052A">
              <w:t xml:space="preserve"> supported by good analysis</w:t>
            </w:r>
          </w:p>
          <w:p w14:paraId="4533BF8D" w14:textId="7F81E751" w:rsidR="000266D1" w:rsidRPr="00FE052A" w:rsidRDefault="000266D1" w:rsidP="000266D1">
            <w:pPr>
              <w:pStyle w:val="TableBullet"/>
            </w:pPr>
            <w:r w:rsidRPr="00FE052A">
              <w:t>Review and monitor</w:t>
            </w:r>
            <w:r>
              <w:t>ing,</w:t>
            </w:r>
            <w:r w:rsidRPr="00FE052A">
              <w:t xml:space="preserve"> including by third party</w:t>
            </w:r>
            <w:r>
              <w:t>, is</w:t>
            </w:r>
            <w:r w:rsidRPr="00FE052A">
              <w:t xml:space="preserve"> part of standard business approach</w:t>
            </w:r>
          </w:p>
          <w:p w14:paraId="6D48566B" w14:textId="3594033E" w:rsidR="000266D1" w:rsidRPr="00FE052A" w:rsidRDefault="000266D1" w:rsidP="000266D1">
            <w:pPr>
              <w:pStyle w:val="TableBullet"/>
            </w:pPr>
            <w:r w:rsidRPr="00FE052A">
              <w:t>Milestones in place to indicate progress toward</w:t>
            </w:r>
            <w:r>
              <w:t>s</w:t>
            </w:r>
            <w:r w:rsidRPr="00FE052A">
              <w:t xml:space="preserve"> aim and objectives</w:t>
            </w:r>
          </w:p>
          <w:p w14:paraId="0B282AAE" w14:textId="0A4D32D3" w:rsidR="000266D1" w:rsidRPr="00FE052A" w:rsidRDefault="000266D1" w:rsidP="000266D1">
            <w:pPr>
              <w:pStyle w:val="TableBullet"/>
            </w:pPr>
            <w:r w:rsidRPr="00FE052A">
              <w:t>Resource effort to match stated outcomes and deliver standard outputs</w:t>
            </w:r>
          </w:p>
          <w:p w14:paraId="1EFA0697" w14:textId="4EA37F33" w:rsidR="000266D1" w:rsidRPr="00FE052A" w:rsidRDefault="000266D1" w:rsidP="000266D1">
            <w:pPr>
              <w:pStyle w:val="TableBullet"/>
            </w:pPr>
            <w:r w:rsidRPr="00FE052A">
              <w:t>Data collection, collation and analysis undertaken to monitor progress and identify gaps in knowledge of host distribution</w:t>
            </w:r>
          </w:p>
          <w:p w14:paraId="78DB9D3A" w14:textId="31BB554D" w:rsidR="000266D1" w:rsidRPr="00FE052A" w:rsidRDefault="000266D1" w:rsidP="000266D1">
            <w:pPr>
              <w:pStyle w:val="TableBullet"/>
            </w:pPr>
            <w:r w:rsidRPr="00FE052A">
              <w:t xml:space="preserve">Review and audit to </w:t>
            </w:r>
            <w:r>
              <w:t>confirm that</w:t>
            </w:r>
            <w:r w:rsidRPr="00FE052A">
              <w:t xml:space="preserve"> movement measures are meeting milestones</w:t>
            </w:r>
          </w:p>
          <w:p w14:paraId="1C2BBA20" w14:textId="7AC448B4" w:rsidR="000266D1" w:rsidRPr="00FE052A" w:rsidRDefault="000266D1" w:rsidP="000266D1">
            <w:pPr>
              <w:pStyle w:val="TableBullet"/>
            </w:pPr>
            <w:r w:rsidRPr="00BF6217">
              <w:t>Communications and Community Engagement Program encour</w:t>
            </w:r>
            <w:r w:rsidRPr="00FE052A">
              <w:t>ages community and partners to report</w:t>
            </w:r>
          </w:p>
          <w:p w14:paraId="5490216F" w14:textId="6E39A6A6" w:rsidR="000266D1" w:rsidRPr="00FE052A" w:rsidRDefault="000266D1" w:rsidP="000266D1">
            <w:pPr>
              <w:pStyle w:val="TableBullet"/>
            </w:pPr>
            <w:r w:rsidRPr="00FE052A">
              <w:t xml:space="preserve">Call </w:t>
            </w:r>
            <w:r>
              <w:t>c</w:t>
            </w:r>
            <w:r w:rsidRPr="00FE052A">
              <w:t>entre in place to process reports</w:t>
            </w:r>
          </w:p>
          <w:p w14:paraId="385F87ED" w14:textId="213746E8" w:rsidR="000266D1" w:rsidRPr="00FE052A" w:rsidRDefault="000266D1" w:rsidP="000266D1">
            <w:pPr>
              <w:pStyle w:val="TableBullet"/>
            </w:pPr>
            <w:r w:rsidRPr="00FE052A">
              <w:t xml:space="preserve">Flexible approach to adopting tactics and tasking </w:t>
            </w:r>
            <w:r>
              <w:t>using</w:t>
            </w:r>
            <w:r w:rsidRPr="00FE052A">
              <w:t xml:space="preserve"> a zone</w:t>
            </w:r>
            <w:r>
              <w:t>-</w:t>
            </w:r>
            <w:r w:rsidRPr="00FE052A">
              <w:t>by</w:t>
            </w:r>
            <w:r>
              <w:t>-</w:t>
            </w:r>
            <w:r w:rsidRPr="00FE052A">
              <w:t xml:space="preserve">zone approach to meet needs in a zone </w:t>
            </w:r>
            <w:r>
              <w:t>(</w:t>
            </w:r>
            <w:r w:rsidRPr="00FE052A">
              <w:t>eg</w:t>
            </w:r>
            <w:r>
              <w:t> </w:t>
            </w:r>
            <w:r w:rsidRPr="00FE052A">
              <w:t>demographic differences between area</w:t>
            </w:r>
            <w:r>
              <w:t>s</w:t>
            </w:r>
            <w:r w:rsidRPr="00FE052A">
              <w:t>/zones</w:t>
            </w:r>
            <w:r>
              <w:t>)</w:t>
            </w:r>
          </w:p>
        </w:tc>
      </w:tr>
      <w:tr w:rsidR="000266D1" w:rsidRPr="00CE2878" w14:paraId="023925B5" w14:textId="77777777" w:rsidTr="004E4C48">
        <w:trPr>
          <w:trHeight w:val="98"/>
        </w:trPr>
        <w:tc>
          <w:tcPr>
            <w:tcW w:w="2376" w:type="dxa"/>
            <w:vMerge/>
            <w:shd w:val="clear" w:color="auto" w:fill="auto"/>
          </w:tcPr>
          <w:p w14:paraId="29C42D50" w14:textId="77777777" w:rsidR="000266D1" w:rsidRPr="00FE052A" w:rsidRDefault="000266D1" w:rsidP="000266D1">
            <w:pPr>
              <w:pStyle w:val="TableText0"/>
              <w:keepNext w:val="0"/>
            </w:pPr>
          </w:p>
        </w:tc>
        <w:tc>
          <w:tcPr>
            <w:tcW w:w="993" w:type="dxa"/>
            <w:vMerge/>
            <w:shd w:val="clear" w:color="auto" w:fill="auto"/>
          </w:tcPr>
          <w:p w14:paraId="660B215D" w14:textId="77777777" w:rsidR="000266D1" w:rsidRPr="00FE052A" w:rsidRDefault="000266D1" w:rsidP="000266D1">
            <w:pPr>
              <w:pStyle w:val="TableText0"/>
              <w:keepNext w:val="0"/>
            </w:pPr>
          </w:p>
        </w:tc>
        <w:tc>
          <w:tcPr>
            <w:tcW w:w="992" w:type="dxa"/>
            <w:vMerge/>
            <w:shd w:val="clear" w:color="auto" w:fill="auto"/>
          </w:tcPr>
          <w:p w14:paraId="540BDBAE" w14:textId="77777777" w:rsidR="000266D1" w:rsidRPr="00FE052A" w:rsidRDefault="000266D1" w:rsidP="000266D1">
            <w:pPr>
              <w:pStyle w:val="TableText0"/>
              <w:keepNext w:val="0"/>
            </w:pPr>
          </w:p>
        </w:tc>
        <w:tc>
          <w:tcPr>
            <w:tcW w:w="1701" w:type="dxa"/>
            <w:vMerge/>
            <w:shd w:val="clear" w:color="auto" w:fill="auto"/>
          </w:tcPr>
          <w:p w14:paraId="65F77574" w14:textId="77777777" w:rsidR="000266D1" w:rsidRPr="00FE052A" w:rsidRDefault="000266D1" w:rsidP="000266D1">
            <w:pPr>
              <w:pStyle w:val="TableText0"/>
              <w:keepNext w:val="0"/>
            </w:pPr>
          </w:p>
        </w:tc>
        <w:tc>
          <w:tcPr>
            <w:tcW w:w="3402" w:type="dxa"/>
            <w:shd w:val="clear" w:color="auto" w:fill="FFCC99"/>
          </w:tcPr>
          <w:p w14:paraId="6161DBC6" w14:textId="77777777" w:rsidR="000266D1" w:rsidRPr="00FE052A" w:rsidRDefault="000266D1" w:rsidP="000266D1">
            <w:pPr>
              <w:pStyle w:val="TableText0"/>
              <w:keepNext w:val="0"/>
            </w:pPr>
          </w:p>
        </w:tc>
      </w:tr>
      <w:tr w:rsidR="000266D1" w:rsidRPr="00CE2878" w14:paraId="15BB5A89" w14:textId="77777777" w:rsidTr="004E4C48">
        <w:trPr>
          <w:cantSplit/>
          <w:trHeight w:val="647"/>
        </w:trPr>
        <w:tc>
          <w:tcPr>
            <w:tcW w:w="2376" w:type="dxa"/>
            <w:vMerge w:val="restart"/>
            <w:shd w:val="clear" w:color="auto" w:fill="auto"/>
          </w:tcPr>
          <w:p w14:paraId="65683E02" w14:textId="06DDC6E2" w:rsidR="000266D1" w:rsidRPr="00FE052A" w:rsidRDefault="000266D1" w:rsidP="006E645C">
            <w:pPr>
              <w:pStyle w:val="TableText0"/>
              <w:ind w:left="426" w:hanging="426"/>
            </w:pPr>
            <w:r>
              <w:t>2.8</w:t>
            </w:r>
            <w:r>
              <w:tab/>
            </w:r>
            <w:r w:rsidRPr="00FE052A">
              <w:t>Flexible approach to use of tactics is not applied</w:t>
            </w:r>
            <w:r>
              <w:t>;</w:t>
            </w:r>
            <w:r w:rsidRPr="00FE052A">
              <w:t xml:space="preserve"> best strategy(s) and/or tactics not chosen</w:t>
            </w:r>
          </w:p>
        </w:tc>
        <w:tc>
          <w:tcPr>
            <w:tcW w:w="993" w:type="dxa"/>
            <w:vMerge w:val="restart"/>
            <w:shd w:val="clear" w:color="auto" w:fill="auto"/>
          </w:tcPr>
          <w:p w14:paraId="6B1FC7D7" w14:textId="77777777" w:rsidR="000266D1" w:rsidRPr="00FE052A" w:rsidRDefault="000266D1" w:rsidP="006E645C">
            <w:pPr>
              <w:pStyle w:val="TableText0"/>
            </w:pPr>
          </w:p>
        </w:tc>
        <w:tc>
          <w:tcPr>
            <w:tcW w:w="992" w:type="dxa"/>
            <w:vMerge w:val="restart"/>
            <w:shd w:val="clear" w:color="auto" w:fill="auto"/>
          </w:tcPr>
          <w:p w14:paraId="3D427047" w14:textId="77777777" w:rsidR="000266D1" w:rsidRPr="00FE052A" w:rsidRDefault="000266D1" w:rsidP="006E645C">
            <w:pPr>
              <w:pStyle w:val="TableText0"/>
            </w:pPr>
          </w:p>
        </w:tc>
        <w:tc>
          <w:tcPr>
            <w:tcW w:w="1701" w:type="dxa"/>
            <w:vMerge w:val="restart"/>
            <w:shd w:val="clear" w:color="auto" w:fill="auto"/>
          </w:tcPr>
          <w:p w14:paraId="38DA204C" w14:textId="77777777" w:rsidR="000266D1" w:rsidRPr="00FE052A" w:rsidRDefault="000266D1" w:rsidP="006E645C">
            <w:pPr>
              <w:pStyle w:val="TableText0"/>
            </w:pPr>
          </w:p>
        </w:tc>
        <w:tc>
          <w:tcPr>
            <w:tcW w:w="3402" w:type="dxa"/>
            <w:shd w:val="clear" w:color="auto" w:fill="auto"/>
          </w:tcPr>
          <w:p w14:paraId="2315C88C" w14:textId="77777777" w:rsidR="000266D1" w:rsidRPr="00FE052A" w:rsidRDefault="000266D1" w:rsidP="006E645C">
            <w:pPr>
              <w:pStyle w:val="TableBullet"/>
            </w:pPr>
            <w:r w:rsidRPr="00FE052A">
              <w:t>As for 2.7</w:t>
            </w:r>
          </w:p>
        </w:tc>
      </w:tr>
      <w:tr w:rsidR="000266D1" w:rsidRPr="00CE2878" w14:paraId="507C5F4B" w14:textId="77777777" w:rsidTr="004E4C48">
        <w:trPr>
          <w:trHeight w:val="230"/>
        </w:trPr>
        <w:tc>
          <w:tcPr>
            <w:tcW w:w="2376" w:type="dxa"/>
            <w:vMerge/>
            <w:shd w:val="clear" w:color="auto" w:fill="auto"/>
          </w:tcPr>
          <w:p w14:paraId="4F8CEBAC" w14:textId="77777777" w:rsidR="000266D1" w:rsidRPr="00FE052A" w:rsidRDefault="000266D1" w:rsidP="006E645C">
            <w:pPr>
              <w:pStyle w:val="TableText0"/>
            </w:pPr>
          </w:p>
        </w:tc>
        <w:tc>
          <w:tcPr>
            <w:tcW w:w="993" w:type="dxa"/>
            <w:vMerge/>
            <w:shd w:val="clear" w:color="auto" w:fill="auto"/>
          </w:tcPr>
          <w:p w14:paraId="6C39FE46" w14:textId="77777777" w:rsidR="000266D1" w:rsidRPr="00FE052A" w:rsidRDefault="000266D1" w:rsidP="006E645C">
            <w:pPr>
              <w:pStyle w:val="TableText0"/>
            </w:pPr>
          </w:p>
        </w:tc>
        <w:tc>
          <w:tcPr>
            <w:tcW w:w="992" w:type="dxa"/>
            <w:vMerge/>
            <w:shd w:val="clear" w:color="auto" w:fill="auto"/>
          </w:tcPr>
          <w:p w14:paraId="07DCA6A3" w14:textId="77777777" w:rsidR="000266D1" w:rsidRPr="00FE052A" w:rsidRDefault="000266D1" w:rsidP="006E645C">
            <w:pPr>
              <w:pStyle w:val="TableText0"/>
            </w:pPr>
          </w:p>
        </w:tc>
        <w:tc>
          <w:tcPr>
            <w:tcW w:w="1701" w:type="dxa"/>
            <w:vMerge/>
            <w:shd w:val="clear" w:color="auto" w:fill="auto"/>
          </w:tcPr>
          <w:p w14:paraId="36F18193" w14:textId="77777777" w:rsidR="000266D1" w:rsidRPr="00FE052A" w:rsidRDefault="000266D1" w:rsidP="006E645C">
            <w:pPr>
              <w:pStyle w:val="TableText0"/>
            </w:pPr>
          </w:p>
        </w:tc>
        <w:tc>
          <w:tcPr>
            <w:tcW w:w="3402" w:type="dxa"/>
            <w:shd w:val="clear" w:color="auto" w:fill="CCFFCC"/>
          </w:tcPr>
          <w:p w14:paraId="6A04AD61" w14:textId="77777777" w:rsidR="000266D1" w:rsidRPr="00FE052A" w:rsidRDefault="000266D1" w:rsidP="006E645C">
            <w:pPr>
              <w:pStyle w:val="TableText0"/>
            </w:pPr>
          </w:p>
        </w:tc>
      </w:tr>
      <w:tr w:rsidR="000266D1" w:rsidRPr="00CE2878" w14:paraId="052A96E9" w14:textId="77777777" w:rsidTr="004E4C48">
        <w:trPr>
          <w:trHeight w:val="230"/>
        </w:trPr>
        <w:tc>
          <w:tcPr>
            <w:tcW w:w="2376" w:type="dxa"/>
            <w:vMerge w:val="restart"/>
            <w:shd w:val="clear" w:color="auto" w:fill="auto"/>
          </w:tcPr>
          <w:p w14:paraId="4E60A027" w14:textId="77777777" w:rsidR="000266D1" w:rsidRPr="00FE052A" w:rsidRDefault="000266D1" w:rsidP="000266D1">
            <w:pPr>
              <w:pStyle w:val="TableText0"/>
              <w:keepNext w:val="0"/>
              <w:ind w:left="426" w:hanging="426"/>
            </w:pPr>
            <w:r>
              <w:t>2.9</w:t>
            </w:r>
            <w:r>
              <w:tab/>
            </w:r>
            <w:r w:rsidRPr="00FE052A">
              <w:t>Poor use of systems/structures for information management</w:t>
            </w:r>
            <w:r>
              <w:t>,</w:t>
            </w:r>
            <w:r w:rsidRPr="00FE052A">
              <w:t xml:space="preserve"> leading to response not knowing what it should know</w:t>
            </w:r>
          </w:p>
        </w:tc>
        <w:tc>
          <w:tcPr>
            <w:tcW w:w="993" w:type="dxa"/>
            <w:vMerge w:val="restart"/>
            <w:shd w:val="clear" w:color="auto" w:fill="auto"/>
          </w:tcPr>
          <w:p w14:paraId="6BECE530" w14:textId="77777777" w:rsidR="000266D1" w:rsidRPr="00FE052A" w:rsidRDefault="000266D1" w:rsidP="000266D1">
            <w:pPr>
              <w:pStyle w:val="TableText0"/>
              <w:keepNext w:val="0"/>
            </w:pPr>
          </w:p>
        </w:tc>
        <w:tc>
          <w:tcPr>
            <w:tcW w:w="992" w:type="dxa"/>
            <w:vMerge w:val="restart"/>
            <w:shd w:val="clear" w:color="auto" w:fill="auto"/>
          </w:tcPr>
          <w:p w14:paraId="7A21474A" w14:textId="77777777" w:rsidR="000266D1" w:rsidRPr="00FE052A" w:rsidRDefault="000266D1" w:rsidP="000266D1">
            <w:pPr>
              <w:pStyle w:val="TableText0"/>
              <w:keepNext w:val="0"/>
            </w:pPr>
          </w:p>
        </w:tc>
        <w:tc>
          <w:tcPr>
            <w:tcW w:w="1701" w:type="dxa"/>
            <w:vMerge w:val="restart"/>
            <w:shd w:val="clear" w:color="auto" w:fill="auto"/>
          </w:tcPr>
          <w:p w14:paraId="69B8CE74" w14:textId="77777777" w:rsidR="000266D1" w:rsidRPr="00FE052A" w:rsidRDefault="000266D1" w:rsidP="000266D1">
            <w:pPr>
              <w:pStyle w:val="TableText0"/>
              <w:keepNext w:val="0"/>
            </w:pPr>
          </w:p>
        </w:tc>
        <w:tc>
          <w:tcPr>
            <w:tcW w:w="3402" w:type="dxa"/>
            <w:shd w:val="clear" w:color="auto" w:fill="auto"/>
          </w:tcPr>
          <w:p w14:paraId="71D5199F" w14:textId="052379E3" w:rsidR="000266D1" w:rsidRPr="00FE052A" w:rsidRDefault="000266D1" w:rsidP="000266D1">
            <w:pPr>
              <w:pStyle w:val="TableBullet"/>
            </w:pPr>
            <w:r w:rsidRPr="00FE052A">
              <w:t>Systems approach in place and validated by auditing</w:t>
            </w:r>
          </w:p>
          <w:p w14:paraId="1744CEAB" w14:textId="6A688C62" w:rsidR="000266D1" w:rsidRPr="00FE052A" w:rsidRDefault="000266D1" w:rsidP="000266D1">
            <w:pPr>
              <w:pStyle w:val="TableBullet"/>
            </w:pPr>
            <w:r w:rsidRPr="00FE052A">
              <w:t>Trained and qualified staff in place for use of system</w:t>
            </w:r>
          </w:p>
          <w:p w14:paraId="45B92ACC" w14:textId="47DE8A15" w:rsidR="000266D1" w:rsidRPr="00FE052A" w:rsidRDefault="000266D1" w:rsidP="000266D1">
            <w:pPr>
              <w:pStyle w:val="TableBullet"/>
            </w:pPr>
            <w:r w:rsidRPr="00FE052A">
              <w:t>Review and monitor</w:t>
            </w:r>
            <w:r>
              <w:t>ing</w:t>
            </w:r>
            <w:r w:rsidRPr="00FE052A">
              <w:t xml:space="preserve"> to be scheduled and reported upon</w:t>
            </w:r>
          </w:p>
          <w:p w14:paraId="6BABA22F" w14:textId="7D25E421" w:rsidR="000266D1" w:rsidRPr="00FE052A" w:rsidRDefault="000266D1" w:rsidP="000266D1">
            <w:pPr>
              <w:pStyle w:val="TableBullet"/>
            </w:pPr>
            <w:r w:rsidRPr="00FE052A">
              <w:t>Planning function to be actively involved in collation and interpretation of data</w:t>
            </w:r>
            <w:r>
              <w:t>,</w:t>
            </w:r>
            <w:r w:rsidRPr="00FE052A">
              <w:t xml:space="preserve"> and provid</w:t>
            </w:r>
            <w:r>
              <w:t>ing</w:t>
            </w:r>
            <w:r w:rsidRPr="00FE052A">
              <w:t xml:space="preserve"> clear direction to operations on best practice for use of system</w:t>
            </w:r>
          </w:p>
          <w:p w14:paraId="3279C941" w14:textId="27E587BD" w:rsidR="000266D1" w:rsidRPr="00FE052A" w:rsidRDefault="000266D1" w:rsidP="000266D1">
            <w:pPr>
              <w:pStyle w:val="TableBullet"/>
            </w:pPr>
            <w:r w:rsidRPr="00FE052A">
              <w:t xml:space="preserve">Standard topic for AAR of </w:t>
            </w:r>
            <w:r w:rsidRPr="007B3ABA">
              <w:t>LCC</w:t>
            </w:r>
            <w:r w:rsidRPr="00FE052A">
              <w:t xml:space="preserve"> personnel</w:t>
            </w:r>
          </w:p>
        </w:tc>
      </w:tr>
      <w:tr w:rsidR="000266D1" w:rsidRPr="00CE2878" w14:paraId="705F0424" w14:textId="77777777" w:rsidTr="004E4C48">
        <w:trPr>
          <w:trHeight w:val="230"/>
        </w:trPr>
        <w:tc>
          <w:tcPr>
            <w:tcW w:w="2376" w:type="dxa"/>
            <w:vMerge/>
            <w:shd w:val="clear" w:color="auto" w:fill="auto"/>
          </w:tcPr>
          <w:p w14:paraId="4DEC2962" w14:textId="77777777" w:rsidR="000266D1" w:rsidRPr="00EB22EF" w:rsidRDefault="000266D1" w:rsidP="000266D1">
            <w:pPr>
              <w:pStyle w:val="TableText0"/>
              <w:keepNext w:val="0"/>
              <w:rPr>
                <w:sz w:val="18"/>
                <w:szCs w:val="18"/>
              </w:rPr>
            </w:pPr>
          </w:p>
        </w:tc>
        <w:tc>
          <w:tcPr>
            <w:tcW w:w="993" w:type="dxa"/>
            <w:vMerge/>
            <w:shd w:val="clear" w:color="auto" w:fill="auto"/>
          </w:tcPr>
          <w:p w14:paraId="77FC6C0A" w14:textId="77777777" w:rsidR="000266D1" w:rsidRPr="00CE2878" w:rsidRDefault="000266D1" w:rsidP="000266D1">
            <w:pPr>
              <w:pStyle w:val="TableText0"/>
              <w:keepNext w:val="0"/>
              <w:rPr>
                <w:sz w:val="20"/>
              </w:rPr>
            </w:pPr>
          </w:p>
        </w:tc>
        <w:tc>
          <w:tcPr>
            <w:tcW w:w="992" w:type="dxa"/>
            <w:vMerge/>
            <w:shd w:val="clear" w:color="auto" w:fill="auto"/>
          </w:tcPr>
          <w:p w14:paraId="29C9BADD" w14:textId="77777777" w:rsidR="000266D1" w:rsidRPr="00CE2878" w:rsidRDefault="000266D1" w:rsidP="000266D1">
            <w:pPr>
              <w:pStyle w:val="TableText0"/>
              <w:keepNext w:val="0"/>
              <w:rPr>
                <w:sz w:val="20"/>
              </w:rPr>
            </w:pPr>
          </w:p>
        </w:tc>
        <w:tc>
          <w:tcPr>
            <w:tcW w:w="1701" w:type="dxa"/>
            <w:vMerge/>
            <w:shd w:val="clear" w:color="auto" w:fill="auto"/>
          </w:tcPr>
          <w:p w14:paraId="3B127419" w14:textId="77777777" w:rsidR="000266D1" w:rsidRPr="00CE2878" w:rsidRDefault="000266D1" w:rsidP="000266D1">
            <w:pPr>
              <w:pStyle w:val="TableText0"/>
              <w:keepNext w:val="0"/>
              <w:rPr>
                <w:sz w:val="20"/>
              </w:rPr>
            </w:pPr>
          </w:p>
        </w:tc>
        <w:tc>
          <w:tcPr>
            <w:tcW w:w="3402" w:type="dxa"/>
            <w:shd w:val="clear" w:color="auto" w:fill="CCFFCC"/>
          </w:tcPr>
          <w:p w14:paraId="4DFCA551" w14:textId="77777777" w:rsidR="000266D1" w:rsidRPr="00EB22EF" w:rsidRDefault="000266D1" w:rsidP="000266D1">
            <w:pPr>
              <w:pStyle w:val="TableText0"/>
              <w:keepNext w:val="0"/>
              <w:rPr>
                <w:sz w:val="16"/>
                <w:szCs w:val="16"/>
              </w:rPr>
            </w:pPr>
          </w:p>
        </w:tc>
      </w:tr>
      <w:tr w:rsidR="000266D1" w:rsidRPr="00CE2878" w14:paraId="23AEB9FD" w14:textId="77777777" w:rsidTr="004E4C48">
        <w:trPr>
          <w:trHeight w:val="345"/>
        </w:trPr>
        <w:tc>
          <w:tcPr>
            <w:tcW w:w="2376" w:type="dxa"/>
            <w:vMerge w:val="restart"/>
            <w:shd w:val="clear" w:color="auto" w:fill="auto"/>
          </w:tcPr>
          <w:p w14:paraId="082ED29E" w14:textId="2B9535B4" w:rsidR="000266D1" w:rsidRPr="00EB22EF" w:rsidRDefault="000266D1" w:rsidP="000266D1">
            <w:pPr>
              <w:pStyle w:val="TableText0"/>
              <w:keepNext w:val="0"/>
              <w:ind w:left="426" w:hanging="426"/>
            </w:pPr>
            <w:r>
              <w:t>2.10</w:t>
            </w:r>
            <w:r>
              <w:tab/>
            </w:r>
            <w:r w:rsidRPr="00EB22EF">
              <w:t>Deliberate spread</w:t>
            </w:r>
            <w:r>
              <w:t xml:space="preserve"> of </w:t>
            </w:r>
            <w:r w:rsidRPr="007B3ABA">
              <w:t>EWD</w:t>
            </w:r>
            <w:r>
              <w:t xml:space="preserve">, or </w:t>
            </w:r>
            <w:r w:rsidRPr="00EB22EF">
              <w:t>conceal</w:t>
            </w:r>
            <w:r>
              <w:t>ment of</w:t>
            </w:r>
            <w:r w:rsidRPr="00EB22EF">
              <w:t xml:space="preserve"> host</w:t>
            </w:r>
            <w:r>
              <w:t xml:space="preserve"> or </w:t>
            </w:r>
            <w:r w:rsidRPr="00EB22EF">
              <w:t>EWD</w:t>
            </w:r>
          </w:p>
        </w:tc>
        <w:tc>
          <w:tcPr>
            <w:tcW w:w="993" w:type="dxa"/>
            <w:vMerge w:val="restart"/>
            <w:shd w:val="clear" w:color="auto" w:fill="auto"/>
          </w:tcPr>
          <w:p w14:paraId="07529C58" w14:textId="77777777" w:rsidR="000266D1" w:rsidRPr="00CE2878" w:rsidRDefault="000266D1" w:rsidP="000266D1">
            <w:pPr>
              <w:pStyle w:val="TableText0"/>
              <w:keepNext w:val="0"/>
              <w:rPr>
                <w:color w:val="008000"/>
                <w:sz w:val="17"/>
                <w:szCs w:val="24"/>
              </w:rPr>
            </w:pPr>
          </w:p>
        </w:tc>
        <w:tc>
          <w:tcPr>
            <w:tcW w:w="992" w:type="dxa"/>
            <w:vMerge w:val="restart"/>
            <w:shd w:val="clear" w:color="auto" w:fill="auto"/>
          </w:tcPr>
          <w:p w14:paraId="07447E24" w14:textId="77777777" w:rsidR="000266D1" w:rsidRPr="00CE2878" w:rsidRDefault="000266D1" w:rsidP="000266D1">
            <w:pPr>
              <w:pStyle w:val="TableText0"/>
              <w:keepNext w:val="0"/>
              <w:rPr>
                <w:color w:val="FF0000"/>
                <w:sz w:val="17"/>
                <w:szCs w:val="24"/>
              </w:rPr>
            </w:pPr>
          </w:p>
        </w:tc>
        <w:tc>
          <w:tcPr>
            <w:tcW w:w="1701" w:type="dxa"/>
            <w:vMerge w:val="restart"/>
            <w:shd w:val="clear" w:color="auto" w:fill="auto"/>
          </w:tcPr>
          <w:p w14:paraId="69A7D7F5" w14:textId="77777777" w:rsidR="000266D1" w:rsidRPr="00CE2878" w:rsidRDefault="000266D1" w:rsidP="000266D1">
            <w:pPr>
              <w:pStyle w:val="TableText0"/>
              <w:keepNext w:val="0"/>
              <w:rPr>
                <w:color w:val="008000"/>
                <w:sz w:val="17"/>
                <w:szCs w:val="24"/>
              </w:rPr>
            </w:pPr>
          </w:p>
        </w:tc>
        <w:tc>
          <w:tcPr>
            <w:tcW w:w="3402" w:type="dxa"/>
            <w:shd w:val="clear" w:color="auto" w:fill="auto"/>
          </w:tcPr>
          <w:p w14:paraId="6714CAA3" w14:textId="77777777" w:rsidR="000266D1" w:rsidRPr="00FE052A" w:rsidRDefault="000266D1" w:rsidP="000266D1">
            <w:pPr>
              <w:pStyle w:val="TableBullet"/>
            </w:pPr>
            <w:r w:rsidRPr="00FE052A">
              <w:t xml:space="preserve">As for 2.3 </w:t>
            </w:r>
          </w:p>
        </w:tc>
      </w:tr>
      <w:tr w:rsidR="000266D1" w:rsidRPr="00CE2878" w14:paraId="550E7BAC" w14:textId="77777777" w:rsidTr="004E4C48">
        <w:trPr>
          <w:trHeight w:val="71"/>
        </w:trPr>
        <w:tc>
          <w:tcPr>
            <w:tcW w:w="2376" w:type="dxa"/>
            <w:vMerge/>
            <w:shd w:val="clear" w:color="auto" w:fill="auto"/>
          </w:tcPr>
          <w:p w14:paraId="0121F289" w14:textId="77777777" w:rsidR="000266D1" w:rsidRPr="00EB22EF" w:rsidRDefault="000266D1" w:rsidP="000266D1">
            <w:pPr>
              <w:pStyle w:val="TableText0"/>
              <w:keepNext w:val="0"/>
            </w:pPr>
          </w:p>
        </w:tc>
        <w:tc>
          <w:tcPr>
            <w:tcW w:w="993" w:type="dxa"/>
            <w:vMerge/>
            <w:shd w:val="clear" w:color="auto" w:fill="auto"/>
          </w:tcPr>
          <w:p w14:paraId="0E621A29" w14:textId="77777777" w:rsidR="000266D1" w:rsidRPr="00CE2878" w:rsidRDefault="000266D1" w:rsidP="000266D1">
            <w:pPr>
              <w:pStyle w:val="TableText0"/>
              <w:keepNext w:val="0"/>
              <w:rPr>
                <w:sz w:val="20"/>
              </w:rPr>
            </w:pPr>
          </w:p>
        </w:tc>
        <w:tc>
          <w:tcPr>
            <w:tcW w:w="992" w:type="dxa"/>
            <w:vMerge/>
            <w:shd w:val="clear" w:color="auto" w:fill="auto"/>
          </w:tcPr>
          <w:p w14:paraId="649246B3" w14:textId="77777777" w:rsidR="000266D1" w:rsidRPr="00CE2878" w:rsidRDefault="000266D1" w:rsidP="000266D1">
            <w:pPr>
              <w:pStyle w:val="TableText0"/>
              <w:keepNext w:val="0"/>
              <w:rPr>
                <w:sz w:val="20"/>
              </w:rPr>
            </w:pPr>
          </w:p>
        </w:tc>
        <w:tc>
          <w:tcPr>
            <w:tcW w:w="1701" w:type="dxa"/>
            <w:vMerge/>
            <w:shd w:val="clear" w:color="auto" w:fill="auto"/>
          </w:tcPr>
          <w:p w14:paraId="5AAF2205" w14:textId="77777777" w:rsidR="000266D1" w:rsidRPr="00CE2878" w:rsidRDefault="000266D1" w:rsidP="000266D1">
            <w:pPr>
              <w:pStyle w:val="TableText0"/>
              <w:keepNext w:val="0"/>
              <w:rPr>
                <w:sz w:val="20"/>
              </w:rPr>
            </w:pPr>
          </w:p>
        </w:tc>
        <w:tc>
          <w:tcPr>
            <w:tcW w:w="3402" w:type="dxa"/>
            <w:shd w:val="clear" w:color="auto" w:fill="FFCC99"/>
          </w:tcPr>
          <w:p w14:paraId="0BB90C03" w14:textId="77777777" w:rsidR="000266D1" w:rsidRPr="00FE052A" w:rsidRDefault="000266D1" w:rsidP="000266D1">
            <w:pPr>
              <w:pStyle w:val="TableText0"/>
              <w:keepNext w:val="0"/>
            </w:pPr>
          </w:p>
        </w:tc>
      </w:tr>
      <w:tr w:rsidR="000266D1" w:rsidRPr="00CE2878" w14:paraId="254D2C1F" w14:textId="77777777" w:rsidTr="004E4C48">
        <w:trPr>
          <w:trHeight w:val="230"/>
        </w:trPr>
        <w:tc>
          <w:tcPr>
            <w:tcW w:w="2376" w:type="dxa"/>
            <w:vMerge w:val="restart"/>
            <w:shd w:val="clear" w:color="auto" w:fill="auto"/>
          </w:tcPr>
          <w:p w14:paraId="27AB523F" w14:textId="77777777" w:rsidR="000266D1" w:rsidRPr="00EB22EF" w:rsidRDefault="000266D1" w:rsidP="000266D1">
            <w:pPr>
              <w:pStyle w:val="TableText0"/>
              <w:keepNext w:val="0"/>
              <w:ind w:left="426" w:hanging="426"/>
            </w:pPr>
            <w:r>
              <w:t>2.11</w:t>
            </w:r>
            <w:r>
              <w:tab/>
            </w:r>
            <w:r w:rsidRPr="00EB22EF">
              <w:t>Response deviates from the agreed intent and the way forward</w:t>
            </w:r>
          </w:p>
        </w:tc>
        <w:tc>
          <w:tcPr>
            <w:tcW w:w="993" w:type="dxa"/>
            <w:vMerge w:val="restart"/>
            <w:shd w:val="clear" w:color="auto" w:fill="auto"/>
          </w:tcPr>
          <w:p w14:paraId="727F0FC7" w14:textId="77777777" w:rsidR="000266D1" w:rsidRPr="00CE2878" w:rsidRDefault="000266D1" w:rsidP="000266D1">
            <w:pPr>
              <w:pStyle w:val="TableText0"/>
              <w:keepNext w:val="0"/>
              <w:rPr>
                <w:color w:val="008000"/>
                <w:sz w:val="17"/>
                <w:szCs w:val="24"/>
              </w:rPr>
            </w:pPr>
          </w:p>
        </w:tc>
        <w:tc>
          <w:tcPr>
            <w:tcW w:w="992" w:type="dxa"/>
            <w:vMerge w:val="restart"/>
            <w:shd w:val="clear" w:color="auto" w:fill="auto"/>
          </w:tcPr>
          <w:p w14:paraId="0F8D3DC8" w14:textId="77777777" w:rsidR="000266D1" w:rsidRPr="00CE2878" w:rsidRDefault="000266D1" w:rsidP="000266D1">
            <w:pPr>
              <w:pStyle w:val="TableText0"/>
              <w:keepNext w:val="0"/>
              <w:rPr>
                <w:sz w:val="20"/>
              </w:rPr>
            </w:pPr>
          </w:p>
        </w:tc>
        <w:tc>
          <w:tcPr>
            <w:tcW w:w="1701" w:type="dxa"/>
            <w:vMerge w:val="restart"/>
            <w:shd w:val="clear" w:color="auto" w:fill="auto"/>
          </w:tcPr>
          <w:p w14:paraId="3887D821" w14:textId="77777777" w:rsidR="000266D1" w:rsidRPr="00CE2878" w:rsidRDefault="000266D1" w:rsidP="000266D1">
            <w:pPr>
              <w:pStyle w:val="TableText0"/>
              <w:keepNext w:val="0"/>
              <w:rPr>
                <w:sz w:val="20"/>
              </w:rPr>
            </w:pPr>
          </w:p>
        </w:tc>
        <w:tc>
          <w:tcPr>
            <w:tcW w:w="3402" w:type="dxa"/>
            <w:shd w:val="clear" w:color="auto" w:fill="auto"/>
          </w:tcPr>
          <w:p w14:paraId="4E7B45DA" w14:textId="1639FE47" w:rsidR="000266D1" w:rsidRPr="00FE052A" w:rsidRDefault="000266D1" w:rsidP="000266D1">
            <w:pPr>
              <w:pStyle w:val="TableBullet"/>
            </w:pPr>
            <w:r w:rsidRPr="00FE052A">
              <w:t>Clearly stated aim, objectives and supporting milestones in place</w:t>
            </w:r>
          </w:p>
          <w:p w14:paraId="6A338A32" w14:textId="49DCB2FF" w:rsidR="000266D1" w:rsidRPr="00FE052A" w:rsidRDefault="000266D1" w:rsidP="000266D1">
            <w:pPr>
              <w:pStyle w:val="TableBullet"/>
            </w:pPr>
            <w:r w:rsidRPr="00FE052A">
              <w:t>Review and monitor</w:t>
            </w:r>
            <w:r>
              <w:t>ing,</w:t>
            </w:r>
            <w:r w:rsidRPr="00FE052A">
              <w:t xml:space="preserve"> including by third party</w:t>
            </w:r>
            <w:r>
              <w:t>,</w:t>
            </w:r>
            <w:r w:rsidRPr="00FE052A">
              <w:t xml:space="preserve"> to become part of project management</w:t>
            </w:r>
          </w:p>
          <w:p w14:paraId="56497D60" w14:textId="32CBCC3C" w:rsidR="000266D1" w:rsidRPr="00FE052A" w:rsidRDefault="000266D1" w:rsidP="000266D1">
            <w:pPr>
              <w:pStyle w:val="TableBullet"/>
            </w:pPr>
            <w:r w:rsidRPr="00FE052A">
              <w:t>Routine reporting undertaken to indicate either on track or deviat</w:t>
            </w:r>
            <w:r>
              <w:t>ion</w:t>
            </w:r>
          </w:p>
          <w:p w14:paraId="5C5BA437" w14:textId="4F66ED57" w:rsidR="000266D1" w:rsidRPr="00FE052A" w:rsidRDefault="000266D1" w:rsidP="000266D1">
            <w:pPr>
              <w:pStyle w:val="TableBullet"/>
            </w:pPr>
            <w:r w:rsidRPr="00FE052A">
              <w:t>Performance management approach for roles</w:t>
            </w:r>
          </w:p>
          <w:p w14:paraId="42B7B1BD" w14:textId="34D342C4" w:rsidR="000266D1" w:rsidRPr="00FE052A" w:rsidRDefault="000266D1" w:rsidP="000266D1">
            <w:pPr>
              <w:pStyle w:val="TableBullet"/>
            </w:pPr>
            <w:r w:rsidRPr="00FE052A">
              <w:t>Third</w:t>
            </w:r>
            <w:r>
              <w:t>-</w:t>
            </w:r>
            <w:r w:rsidRPr="00FE052A">
              <w:t xml:space="preserve">party audit </w:t>
            </w:r>
            <w:r>
              <w:t>(</w:t>
            </w:r>
            <w:r w:rsidRPr="00FE052A">
              <w:t>eg</w:t>
            </w:r>
            <w:r>
              <w:t> </w:t>
            </w:r>
            <w:r w:rsidRPr="00FE052A">
              <w:t>efficiency audit, midterm review</w:t>
            </w:r>
            <w:r>
              <w:t>)</w:t>
            </w:r>
          </w:p>
          <w:p w14:paraId="1C2A7EBF" w14:textId="27B53631" w:rsidR="000266D1" w:rsidRPr="00FE052A" w:rsidRDefault="000266D1" w:rsidP="000266D1">
            <w:pPr>
              <w:pStyle w:val="TableBullet"/>
            </w:pPr>
            <w:r w:rsidRPr="00FE052A">
              <w:t>Governance arrangements at national level</w:t>
            </w:r>
          </w:p>
        </w:tc>
      </w:tr>
      <w:tr w:rsidR="000266D1" w:rsidRPr="00CE2878" w14:paraId="0B33ED87" w14:textId="77777777" w:rsidTr="004E4C48">
        <w:trPr>
          <w:trHeight w:val="68"/>
        </w:trPr>
        <w:tc>
          <w:tcPr>
            <w:tcW w:w="2376" w:type="dxa"/>
            <w:vMerge/>
            <w:shd w:val="clear" w:color="auto" w:fill="auto"/>
          </w:tcPr>
          <w:p w14:paraId="1CA266B9" w14:textId="77777777" w:rsidR="000266D1" w:rsidRPr="00EB22EF" w:rsidRDefault="000266D1" w:rsidP="000266D1">
            <w:pPr>
              <w:pStyle w:val="TableText0"/>
              <w:keepNext w:val="0"/>
            </w:pPr>
          </w:p>
        </w:tc>
        <w:tc>
          <w:tcPr>
            <w:tcW w:w="993" w:type="dxa"/>
            <w:vMerge/>
            <w:shd w:val="clear" w:color="auto" w:fill="auto"/>
          </w:tcPr>
          <w:p w14:paraId="1D4B894C" w14:textId="77777777" w:rsidR="000266D1" w:rsidRPr="00CE2878" w:rsidRDefault="000266D1" w:rsidP="000266D1">
            <w:pPr>
              <w:pStyle w:val="TableText0"/>
              <w:keepNext w:val="0"/>
              <w:rPr>
                <w:sz w:val="20"/>
              </w:rPr>
            </w:pPr>
          </w:p>
        </w:tc>
        <w:tc>
          <w:tcPr>
            <w:tcW w:w="992" w:type="dxa"/>
            <w:vMerge/>
            <w:shd w:val="clear" w:color="auto" w:fill="auto"/>
          </w:tcPr>
          <w:p w14:paraId="75DEE406" w14:textId="77777777" w:rsidR="000266D1" w:rsidRPr="00CE2878" w:rsidRDefault="000266D1" w:rsidP="000266D1">
            <w:pPr>
              <w:pStyle w:val="TableText0"/>
              <w:keepNext w:val="0"/>
              <w:rPr>
                <w:sz w:val="20"/>
              </w:rPr>
            </w:pPr>
          </w:p>
        </w:tc>
        <w:tc>
          <w:tcPr>
            <w:tcW w:w="1701" w:type="dxa"/>
            <w:vMerge/>
            <w:shd w:val="clear" w:color="auto" w:fill="auto"/>
          </w:tcPr>
          <w:p w14:paraId="02DEBBF6" w14:textId="77777777" w:rsidR="000266D1" w:rsidRPr="00CE2878" w:rsidRDefault="000266D1" w:rsidP="000266D1">
            <w:pPr>
              <w:pStyle w:val="TableText0"/>
              <w:keepNext w:val="0"/>
              <w:rPr>
                <w:sz w:val="20"/>
              </w:rPr>
            </w:pPr>
          </w:p>
        </w:tc>
        <w:tc>
          <w:tcPr>
            <w:tcW w:w="3402" w:type="dxa"/>
            <w:shd w:val="clear" w:color="auto" w:fill="CCFFCC"/>
          </w:tcPr>
          <w:p w14:paraId="35DD708F" w14:textId="77777777" w:rsidR="000266D1" w:rsidRPr="00FE052A" w:rsidRDefault="000266D1" w:rsidP="000266D1">
            <w:pPr>
              <w:pStyle w:val="TableText0"/>
              <w:keepNext w:val="0"/>
            </w:pPr>
          </w:p>
        </w:tc>
      </w:tr>
      <w:tr w:rsidR="000266D1" w:rsidRPr="00CE2878" w14:paraId="681B6F8D" w14:textId="77777777" w:rsidTr="004E4C48">
        <w:trPr>
          <w:cantSplit/>
          <w:trHeight w:val="345"/>
        </w:trPr>
        <w:tc>
          <w:tcPr>
            <w:tcW w:w="2376" w:type="dxa"/>
            <w:vMerge w:val="restart"/>
            <w:shd w:val="clear" w:color="auto" w:fill="auto"/>
          </w:tcPr>
          <w:p w14:paraId="622C1AC6" w14:textId="77777777" w:rsidR="000266D1" w:rsidRPr="00EB22EF" w:rsidRDefault="000266D1" w:rsidP="000266D1">
            <w:pPr>
              <w:pStyle w:val="TableText0"/>
              <w:keepNext w:val="0"/>
              <w:ind w:left="426" w:hanging="426"/>
            </w:pPr>
            <w:r>
              <w:t>2.12</w:t>
            </w:r>
            <w:r>
              <w:tab/>
            </w:r>
            <w:r w:rsidRPr="00EB22EF">
              <w:t>Laboratory capacity and capability do not meet operational needs</w:t>
            </w:r>
          </w:p>
        </w:tc>
        <w:tc>
          <w:tcPr>
            <w:tcW w:w="993" w:type="dxa"/>
            <w:vMerge w:val="restart"/>
            <w:shd w:val="clear" w:color="auto" w:fill="auto"/>
          </w:tcPr>
          <w:p w14:paraId="510C09C0" w14:textId="77777777" w:rsidR="000266D1" w:rsidRPr="00CE2878" w:rsidRDefault="000266D1" w:rsidP="000266D1">
            <w:pPr>
              <w:pStyle w:val="TableText0"/>
              <w:keepNext w:val="0"/>
              <w:rPr>
                <w:color w:val="008000"/>
                <w:sz w:val="17"/>
                <w:szCs w:val="24"/>
              </w:rPr>
            </w:pPr>
          </w:p>
        </w:tc>
        <w:tc>
          <w:tcPr>
            <w:tcW w:w="992" w:type="dxa"/>
            <w:vMerge w:val="restart"/>
            <w:shd w:val="clear" w:color="auto" w:fill="auto"/>
          </w:tcPr>
          <w:p w14:paraId="55DEF333" w14:textId="77777777" w:rsidR="000266D1" w:rsidRPr="00CE2878" w:rsidRDefault="000266D1" w:rsidP="000266D1">
            <w:pPr>
              <w:pStyle w:val="TableText0"/>
              <w:keepNext w:val="0"/>
              <w:rPr>
                <w:sz w:val="20"/>
              </w:rPr>
            </w:pPr>
          </w:p>
        </w:tc>
        <w:tc>
          <w:tcPr>
            <w:tcW w:w="1701" w:type="dxa"/>
            <w:vMerge w:val="restart"/>
            <w:shd w:val="clear" w:color="auto" w:fill="auto"/>
          </w:tcPr>
          <w:p w14:paraId="6524CD4F" w14:textId="77777777" w:rsidR="000266D1" w:rsidRPr="00CE2878" w:rsidRDefault="000266D1" w:rsidP="000266D1">
            <w:pPr>
              <w:pStyle w:val="TableText0"/>
              <w:keepNext w:val="0"/>
              <w:rPr>
                <w:sz w:val="20"/>
              </w:rPr>
            </w:pPr>
          </w:p>
        </w:tc>
        <w:tc>
          <w:tcPr>
            <w:tcW w:w="3402" w:type="dxa"/>
            <w:shd w:val="clear" w:color="auto" w:fill="auto"/>
          </w:tcPr>
          <w:p w14:paraId="4FE52B1C" w14:textId="5D6F38DC" w:rsidR="000266D1" w:rsidRPr="00FE052A" w:rsidRDefault="000266D1" w:rsidP="000266D1">
            <w:pPr>
              <w:pStyle w:val="TableBullet"/>
            </w:pPr>
            <w:r w:rsidRPr="00FE052A">
              <w:t>Change in principles</w:t>
            </w:r>
            <w:r w:rsidR="001C6E99" w:rsidRPr="00FE052A">
              <w:t xml:space="preserve"> underpinning</w:t>
            </w:r>
            <w:r w:rsidRPr="00FE052A">
              <w:t xml:space="preserve"> the need for laboratory testing to support routine surveillance to reduce the load on laboratories</w:t>
            </w:r>
          </w:p>
          <w:p w14:paraId="25B3C217" w14:textId="78129D0B" w:rsidR="000266D1" w:rsidRPr="00FE052A" w:rsidRDefault="000266D1" w:rsidP="000266D1">
            <w:pPr>
              <w:pStyle w:val="TableBullet"/>
            </w:pPr>
            <w:r w:rsidRPr="00FE052A">
              <w:t>Laboratory testing is used for high</w:t>
            </w:r>
            <w:r>
              <w:t>-</w:t>
            </w:r>
            <w:r w:rsidRPr="00FE052A">
              <w:t xml:space="preserve">risk investigations – suspect outside existing zone </w:t>
            </w:r>
            <w:r>
              <w:t>or</w:t>
            </w:r>
            <w:r w:rsidRPr="00FE052A">
              <w:t xml:space="preserve"> new area of infection</w:t>
            </w:r>
          </w:p>
          <w:p w14:paraId="7C29BBED" w14:textId="7D1FAE25" w:rsidR="000266D1" w:rsidRPr="00FE052A" w:rsidRDefault="000266D1" w:rsidP="000266D1">
            <w:pPr>
              <w:pStyle w:val="TableBullet"/>
            </w:pPr>
            <w:r w:rsidRPr="00FE052A">
              <w:t>Testing available elsewhere in Australia</w:t>
            </w:r>
          </w:p>
        </w:tc>
      </w:tr>
      <w:tr w:rsidR="000266D1" w:rsidRPr="00CE2878" w14:paraId="258995F3" w14:textId="77777777" w:rsidTr="004E4C48">
        <w:trPr>
          <w:trHeight w:val="107"/>
        </w:trPr>
        <w:tc>
          <w:tcPr>
            <w:tcW w:w="2376" w:type="dxa"/>
            <w:vMerge/>
            <w:shd w:val="clear" w:color="auto" w:fill="auto"/>
          </w:tcPr>
          <w:p w14:paraId="7F93692F" w14:textId="77777777" w:rsidR="000266D1" w:rsidRPr="00EB22EF" w:rsidRDefault="000266D1" w:rsidP="000266D1">
            <w:pPr>
              <w:pStyle w:val="TableText0"/>
              <w:keepNext w:val="0"/>
            </w:pPr>
          </w:p>
        </w:tc>
        <w:tc>
          <w:tcPr>
            <w:tcW w:w="993" w:type="dxa"/>
            <w:vMerge/>
            <w:shd w:val="clear" w:color="auto" w:fill="auto"/>
          </w:tcPr>
          <w:p w14:paraId="55371EAB" w14:textId="77777777" w:rsidR="000266D1" w:rsidRPr="00CE2878" w:rsidRDefault="000266D1" w:rsidP="000266D1">
            <w:pPr>
              <w:pStyle w:val="TableText0"/>
              <w:keepNext w:val="0"/>
              <w:rPr>
                <w:sz w:val="20"/>
              </w:rPr>
            </w:pPr>
          </w:p>
        </w:tc>
        <w:tc>
          <w:tcPr>
            <w:tcW w:w="992" w:type="dxa"/>
            <w:vMerge/>
            <w:shd w:val="clear" w:color="auto" w:fill="auto"/>
          </w:tcPr>
          <w:p w14:paraId="3EA063DB" w14:textId="77777777" w:rsidR="000266D1" w:rsidRPr="00CE2878" w:rsidRDefault="000266D1" w:rsidP="000266D1">
            <w:pPr>
              <w:pStyle w:val="TableText0"/>
              <w:keepNext w:val="0"/>
              <w:rPr>
                <w:sz w:val="20"/>
              </w:rPr>
            </w:pPr>
          </w:p>
        </w:tc>
        <w:tc>
          <w:tcPr>
            <w:tcW w:w="1701" w:type="dxa"/>
            <w:vMerge/>
            <w:shd w:val="clear" w:color="auto" w:fill="auto"/>
          </w:tcPr>
          <w:p w14:paraId="2A23AB51" w14:textId="77777777" w:rsidR="000266D1" w:rsidRPr="00CE2878" w:rsidRDefault="000266D1" w:rsidP="000266D1">
            <w:pPr>
              <w:pStyle w:val="TableText0"/>
              <w:keepNext w:val="0"/>
              <w:rPr>
                <w:sz w:val="20"/>
              </w:rPr>
            </w:pPr>
          </w:p>
        </w:tc>
        <w:tc>
          <w:tcPr>
            <w:tcW w:w="3402" w:type="dxa"/>
            <w:shd w:val="clear" w:color="auto" w:fill="CCFFCC"/>
          </w:tcPr>
          <w:p w14:paraId="35700556" w14:textId="77777777" w:rsidR="000266D1" w:rsidRPr="00FE052A" w:rsidRDefault="000266D1" w:rsidP="000266D1">
            <w:pPr>
              <w:pStyle w:val="TableText0"/>
              <w:keepNext w:val="0"/>
            </w:pPr>
          </w:p>
        </w:tc>
      </w:tr>
      <w:tr w:rsidR="000266D1" w:rsidRPr="00CE2878" w14:paraId="02470AE3" w14:textId="77777777" w:rsidTr="004E4C48">
        <w:tc>
          <w:tcPr>
            <w:tcW w:w="9464" w:type="dxa"/>
            <w:gridSpan w:val="5"/>
            <w:shd w:val="clear" w:color="auto" w:fill="F2F2F2" w:themeFill="background1" w:themeFillShade="F2"/>
          </w:tcPr>
          <w:p w14:paraId="2A4A5FB9" w14:textId="77777777" w:rsidR="000266D1" w:rsidRPr="000767B7" w:rsidRDefault="000266D1" w:rsidP="000266D1">
            <w:pPr>
              <w:pStyle w:val="TableText0"/>
              <w:keepNext w:val="0"/>
              <w:rPr>
                <w:b/>
              </w:rPr>
            </w:pPr>
            <w:r w:rsidRPr="000767B7">
              <w:rPr>
                <w:b/>
              </w:rPr>
              <w:t>3 Social and community risks</w:t>
            </w:r>
          </w:p>
        </w:tc>
      </w:tr>
      <w:tr w:rsidR="000266D1" w:rsidRPr="00CE2878" w14:paraId="6751C4D5" w14:textId="77777777" w:rsidTr="004E4C48">
        <w:trPr>
          <w:trHeight w:val="460"/>
        </w:trPr>
        <w:tc>
          <w:tcPr>
            <w:tcW w:w="2376" w:type="dxa"/>
            <w:vMerge w:val="restart"/>
            <w:shd w:val="clear" w:color="auto" w:fill="auto"/>
          </w:tcPr>
          <w:p w14:paraId="7A794F4C" w14:textId="4368CB16" w:rsidR="000266D1" w:rsidRPr="00EB22EF" w:rsidRDefault="000266D1" w:rsidP="000266D1">
            <w:pPr>
              <w:pStyle w:val="TableText0"/>
              <w:keepNext w:val="0"/>
              <w:ind w:left="426" w:hanging="426"/>
            </w:pPr>
            <w:r>
              <w:t>3.1</w:t>
            </w:r>
            <w:r>
              <w:tab/>
            </w:r>
            <w:r w:rsidRPr="00EB22EF">
              <w:t>Community does not support the achievement of aim</w:t>
            </w:r>
            <w:r>
              <w:t xml:space="preserve"> and </w:t>
            </w:r>
            <w:r w:rsidRPr="00EB22EF">
              <w:t>objectives – has no</w:t>
            </w:r>
            <w:r>
              <w:t xml:space="preserve"> confidence or </w:t>
            </w:r>
            <w:r w:rsidRPr="00EB22EF">
              <w:t>loses confidence in the response</w:t>
            </w:r>
          </w:p>
        </w:tc>
        <w:tc>
          <w:tcPr>
            <w:tcW w:w="993" w:type="dxa"/>
            <w:vMerge w:val="restart"/>
            <w:shd w:val="clear" w:color="auto" w:fill="auto"/>
          </w:tcPr>
          <w:p w14:paraId="1AE41698" w14:textId="77777777" w:rsidR="000266D1" w:rsidRPr="00CE2878" w:rsidRDefault="000266D1" w:rsidP="000266D1">
            <w:pPr>
              <w:pStyle w:val="TableText0"/>
              <w:keepNext w:val="0"/>
              <w:rPr>
                <w:sz w:val="20"/>
              </w:rPr>
            </w:pPr>
          </w:p>
        </w:tc>
        <w:tc>
          <w:tcPr>
            <w:tcW w:w="992" w:type="dxa"/>
            <w:vMerge w:val="restart"/>
            <w:shd w:val="clear" w:color="auto" w:fill="auto"/>
          </w:tcPr>
          <w:p w14:paraId="3B43728D" w14:textId="77777777" w:rsidR="000266D1" w:rsidRPr="00CE2878" w:rsidRDefault="000266D1" w:rsidP="000266D1">
            <w:pPr>
              <w:pStyle w:val="TableText0"/>
              <w:keepNext w:val="0"/>
              <w:rPr>
                <w:sz w:val="20"/>
              </w:rPr>
            </w:pPr>
          </w:p>
        </w:tc>
        <w:tc>
          <w:tcPr>
            <w:tcW w:w="1701" w:type="dxa"/>
            <w:vMerge w:val="restart"/>
            <w:shd w:val="clear" w:color="auto" w:fill="auto"/>
          </w:tcPr>
          <w:p w14:paraId="258E60F1" w14:textId="77777777" w:rsidR="000266D1" w:rsidRPr="00CE2878" w:rsidRDefault="000266D1" w:rsidP="000266D1">
            <w:pPr>
              <w:pStyle w:val="TableText0"/>
              <w:keepNext w:val="0"/>
              <w:rPr>
                <w:sz w:val="20"/>
              </w:rPr>
            </w:pPr>
          </w:p>
        </w:tc>
        <w:tc>
          <w:tcPr>
            <w:tcW w:w="3402" w:type="dxa"/>
            <w:shd w:val="clear" w:color="auto" w:fill="auto"/>
          </w:tcPr>
          <w:p w14:paraId="6229CF98" w14:textId="6356CF43" w:rsidR="000266D1" w:rsidRPr="00BF6217" w:rsidRDefault="000266D1" w:rsidP="000266D1">
            <w:pPr>
              <w:pStyle w:val="TableBullet"/>
            </w:pPr>
            <w:r w:rsidRPr="00BF6217">
              <w:t>Communications and Community Engagement Program encourages community and partners to report/identify noncompliance, suspect cases, etc</w:t>
            </w:r>
          </w:p>
          <w:p w14:paraId="790DF672" w14:textId="5FA82C56" w:rsidR="000266D1" w:rsidRPr="00BF6217" w:rsidRDefault="000266D1" w:rsidP="000266D1">
            <w:pPr>
              <w:pStyle w:val="TableBullet"/>
            </w:pPr>
            <w:r w:rsidRPr="00BF6217">
              <w:t>Call centre in place to process reports</w:t>
            </w:r>
          </w:p>
          <w:p w14:paraId="27B479C3" w14:textId="6195D768" w:rsidR="000266D1" w:rsidRPr="00BF6217" w:rsidRDefault="000266D1" w:rsidP="000266D1">
            <w:pPr>
              <w:pStyle w:val="TableBullet"/>
            </w:pPr>
            <w:r w:rsidRPr="00BF6217">
              <w:t>Review and monitoring to be undertaken to assess success of Communications and Community Engagement Program</w:t>
            </w:r>
          </w:p>
          <w:p w14:paraId="51AFFB8A" w14:textId="54A163F1" w:rsidR="000266D1" w:rsidRPr="00FE052A" w:rsidRDefault="000266D1" w:rsidP="000266D1">
            <w:pPr>
              <w:pStyle w:val="TableBullet"/>
            </w:pPr>
            <w:r w:rsidRPr="00BF6217">
              <w:t>Performance indicators and milestones in place for Communications and Community Engagement Program, and reviews undertaken against these</w:t>
            </w:r>
          </w:p>
        </w:tc>
      </w:tr>
      <w:tr w:rsidR="000266D1" w:rsidRPr="00CE2878" w14:paraId="14D41324" w14:textId="77777777" w:rsidTr="004E4C48">
        <w:trPr>
          <w:trHeight w:val="50"/>
        </w:trPr>
        <w:tc>
          <w:tcPr>
            <w:tcW w:w="2376" w:type="dxa"/>
            <w:vMerge/>
            <w:shd w:val="clear" w:color="auto" w:fill="auto"/>
          </w:tcPr>
          <w:p w14:paraId="46F90834" w14:textId="77777777" w:rsidR="000266D1" w:rsidRPr="00EB22EF" w:rsidRDefault="000266D1" w:rsidP="000266D1">
            <w:pPr>
              <w:pStyle w:val="TableText0"/>
              <w:keepNext w:val="0"/>
            </w:pPr>
          </w:p>
        </w:tc>
        <w:tc>
          <w:tcPr>
            <w:tcW w:w="993" w:type="dxa"/>
            <w:vMerge/>
            <w:shd w:val="clear" w:color="auto" w:fill="auto"/>
          </w:tcPr>
          <w:p w14:paraId="5ABC9126" w14:textId="77777777" w:rsidR="000266D1" w:rsidRPr="00CE2878" w:rsidRDefault="000266D1" w:rsidP="000266D1">
            <w:pPr>
              <w:pStyle w:val="TableText0"/>
              <w:keepNext w:val="0"/>
              <w:rPr>
                <w:sz w:val="20"/>
              </w:rPr>
            </w:pPr>
          </w:p>
        </w:tc>
        <w:tc>
          <w:tcPr>
            <w:tcW w:w="992" w:type="dxa"/>
            <w:vMerge/>
            <w:shd w:val="clear" w:color="auto" w:fill="auto"/>
          </w:tcPr>
          <w:p w14:paraId="0F194BFB" w14:textId="77777777" w:rsidR="000266D1" w:rsidRPr="00CE2878" w:rsidRDefault="000266D1" w:rsidP="000266D1">
            <w:pPr>
              <w:pStyle w:val="TableText0"/>
              <w:keepNext w:val="0"/>
              <w:rPr>
                <w:sz w:val="20"/>
              </w:rPr>
            </w:pPr>
          </w:p>
        </w:tc>
        <w:tc>
          <w:tcPr>
            <w:tcW w:w="1701" w:type="dxa"/>
            <w:vMerge/>
            <w:shd w:val="clear" w:color="auto" w:fill="auto"/>
          </w:tcPr>
          <w:p w14:paraId="5884823F" w14:textId="77777777" w:rsidR="000266D1" w:rsidRPr="00CE2878" w:rsidRDefault="000266D1" w:rsidP="000266D1">
            <w:pPr>
              <w:pStyle w:val="TableText0"/>
              <w:keepNext w:val="0"/>
              <w:rPr>
                <w:sz w:val="20"/>
              </w:rPr>
            </w:pPr>
          </w:p>
        </w:tc>
        <w:tc>
          <w:tcPr>
            <w:tcW w:w="3402" w:type="dxa"/>
            <w:shd w:val="clear" w:color="auto" w:fill="FFCC99"/>
          </w:tcPr>
          <w:p w14:paraId="6E858F37" w14:textId="77777777" w:rsidR="000266D1" w:rsidRPr="00FE052A" w:rsidRDefault="000266D1" w:rsidP="000266D1">
            <w:pPr>
              <w:pStyle w:val="TableText0"/>
              <w:keepNext w:val="0"/>
            </w:pPr>
          </w:p>
        </w:tc>
      </w:tr>
      <w:tr w:rsidR="000266D1" w:rsidRPr="00CE2878" w14:paraId="526C07E6" w14:textId="77777777" w:rsidTr="004E4C48">
        <w:trPr>
          <w:trHeight w:val="662"/>
        </w:trPr>
        <w:tc>
          <w:tcPr>
            <w:tcW w:w="2376" w:type="dxa"/>
            <w:vMerge w:val="restart"/>
            <w:shd w:val="clear" w:color="auto" w:fill="auto"/>
          </w:tcPr>
          <w:p w14:paraId="26EEFD9C" w14:textId="77777777" w:rsidR="000266D1" w:rsidRPr="00EB22EF" w:rsidRDefault="000266D1" w:rsidP="000266D1">
            <w:pPr>
              <w:pStyle w:val="TableText0"/>
              <w:keepNext w:val="0"/>
              <w:ind w:left="426" w:hanging="426"/>
            </w:pPr>
            <w:r>
              <w:t>3.2</w:t>
            </w:r>
            <w:r>
              <w:tab/>
            </w:r>
            <w:r w:rsidRPr="00EB22EF">
              <w:t>Response does not acknowledge/</w:t>
            </w:r>
            <w:r>
              <w:br/>
            </w:r>
            <w:r w:rsidRPr="00EB22EF">
              <w:t>recognise the different needs of different demographic groups in community</w:t>
            </w:r>
          </w:p>
        </w:tc>
        <w:tc>
          <w:tcPr>
            <w:tcW w:w="993" w:type="dxa"/>
            <w:vMerge w:val="restart"/>
            <w:shd w:val="clear" w:color="auto" w:fill="auto"/>
          </w:tcPr>
          <w:p w14:paraId="3983FF9F" w14:textId="77777777" w:rsidR="000266D1" w:rsidRPr="00CE2878" w:rsidRDefault="000266D1" w:rsidP="000266D1">
            <w:pPr>
              <w:pStyle w:val="TableText0"/>
              <w:keepNext w:val="0"/>
              <w:rPr>
                <w:sz w:val="20"/>
              </w:rPr>
            </w:pPr>
          </w:p>
        </w:tc>
        <w:tc>
          <w:tcPr>
            <w:tcW w:w="992" w:type="dxa"/>
            <w:vMerge w:val="restart"/>
            <w:shd w:val="clear" w:color="auto" w:fill="auto"/>
          </w:tcPr>
          <w:p w14:paraId="17F24836" w14:textId="77777777" w:rsidR="000266D1" w:rsidRPr="00CE2878" w:rsidRDefault="000266D1" w:rsidP="000266D1">
            <w:pPr>
              <w:pStyle w:val="TableText0"/>
              <w:keepNext w:val="0"/>
              <w:rPr>
                <w:sz w:val="20"/>
              </w:rPr>
            </w:pPr>
          </w:p>
        </w:tc>
        <w:tc>
          <w:tcPr>
            <w:tcW w:w="1701" w:type="dxa"/>
            <w:vMerge w:val="restart"/>
            <w:shd w:val="clear" w:color="auto" w:fill="auto"/>
          </w:tcPr>
          <w:p w14:paraId="44C9041A" w14:textId="77777777" w:rsidR="000266D1" w:rsidRPr="00CE2878" w:rsidRDefault="000266D1" w:rsidP="000266D1">
            <w:pPr>
              <w:pStyle w:val="TableText0"/>
              <w:keepNext w:val="0"/>
              <w:rPr>
                <w:sz w:val="20"/>
              </w:rPr>
            </w:pPr>
          </w:p>
        </w:tc>
        <w:tc>
          <w:tcPr>
            <w:tcW w:w="3402" w:type="dxa"/>
            <w:shd w:val="clear" w:color="auto" w:fill="auto"/>
          </w:tcPr>
          <w:p w14:paraId="6EAF3408" w14:textId="4E83F1C3" w:rsidR="000266D1" w:rsidRPr="00FE052A" w:rsidRDefault="000266D1" w:rsidP="000266D1">
            <w:pPr>
              <w:pStyle w:val="TableBullet"/>
            </w:pPr>
            <w:r w:rsidRPr="00FE052A">
              <w:t>As for 3.1</w:t>
            </w:r>
          </w:p>
        </w:tc>
      </w:tr>
      <w:tr w:rsidR="000266D1" w:rsidRPr="00CE2878" w14:paraId="433FAAA0" w14:textId="77777777" w:rsidTr="004E4C48">
        <w:trPr>
          <w:trHeight w:val="104"/>
        </w:trPr>
        <w:tc>
          <w:tcPr>
            <w:tcW w:w="2376" w:type="dxa"/>
            <w:vMerge/>
            <w:shd w:val="clear" w:color="auto" w:fill="auto"/>
          </w:tcPr>
          <w:p w14:paraId="1577D91A" w14:textId="77777777" w:rsidR="000266D1" w:rsidRPr="00EB22EF" w:rsidRDefault="000266D1" w:rsidP="000266D1">
            <w:pPr>
              <w:pStyle w:val="TableText0"/>
              <w:keepNext w:val="0"/>
            </w:pPr>
          </w:p>
        </w:tc>
        <w:tc>
          <w:tcPr>
            <w:tcW w:w="993" w:type="dxa"/>
            <w:vMerge/>
            <w:shd w:val="clear" w:color="auto" w:fill="auto"/>
          </w:tcPr>
          <w:p w14:paraId="31D0660E" w14:textId="77777777" w:rsidR="000266D1" w:rsidRPr="00CE2878" w:rsidRDefault="000266D1" w:rsidP="000266D1">
            <w:pPr>
              <w:pStyle w:val="TableText0"/>
              <w:keepNext w:val="0"/>
              <w:rPr>
                <w:sz w:val="20"/>
              </w:rPr>
            </w:pPr>
          </w:p>
        </w:tc>
        <w:tc>
          <w:tcPr>
            <w:tcW w:w="992" w:type="dxa"/>
            <w:vMerge/>
            <w:shd w:val="clear" w:color="auto" w:fill="auto"/>
          </w:tcPr>
          <w:p w14:paraId="22E7F5FD" w14:textId="77777777" w:rsidR="000266D1" w:rsidRPr="00CE2878" w:rsidRDefault="000266D1" w:rsidP="000266D1">
            <w:pPr>
              <w:pStyle w:val="TableText0"/>
              <w:keepNext w:val="0"/>
              <w:rPr>
                <w:sz w:val="20"/>
              </w:rPr>
            </w:pPr>
          </w:p>
        </w:tc>
        <w:tc>
          <w:tcPr>
            <w:tcW w:w="1701" w:type="dxa"/>
            <w:vMerge/>
            <w:shd w:val="clear" w:color="auto" w:fill="auto"/>
          </w:tcPr>
          <w:p w14:paraId="37D4A8A7" w14:textId="77777777" w:rsidR="000266D1" w:rsidRPr="00CE2878" w:rsidRDefault="000266D1" w:rsidP="000266D1">
            <w:pPr>
              <w:pStyle w:val="TableText0"/>
              <w:keepNext w:val="0"/>
              <w:rPr>
                <w:sz w:val="20"/>
              </w:rPr>
            </w:pPr>
          </w:p>
        </w:tc>
        <w:tc>
          <w:tcPr>
            <w:tcW w:w="3402" w:type="dxa"/>
            <w:shd w:val="clear" w:color="auto" w:fill="FFCC99"/>
          </w:tcPr>
          <w:p w14:paraId="7456DBEB" w14:textId="77777777" w:rsidR="000266D1" w:rsidRPr="00FE052A" w:rsidRDefault="000266D1" w:rsidP="000266D1">
            <w:pPr>
              <w:pStyle w:val="TableText0"/>
              <w:keepNext w:val="0"/>
            </w:pPr>
          </w:p>
        </w:tc>
      </w:tr>
      <w:tr w:rsidR="000266D1" w:rsidRPr="00CE2878" w14:paraId="031EC006" w14:textId="77777777" w:rsidTr="004E4C48">
        <w:trPr>
          <w:trHeight w:val="345"/>
        </w:trPr>
        <w:tc>
          <w:tcPr>
            <w:tcW w:w="2376" w:type="dxa"/>
            <w:vMerge w:val="restart"/>
            <w:shd w:val="clear" w:color="auto" w:fill="auto"/>
          </w:tcPr>
          <w:p w14:paraId="7C81974F" w14:textId="15672A79" w:rsidR="000266D1" w:rsidRPr="00EB22EF" w:rsidRDefault="000266D1" w:rsidP="000266D1">
            <w:pPr>
              <w:pStyle w:val="TableText0"/>
              <w:keepNext w:val="0"/>
              <w:ind w:left="426" w:hanging="426"/>
            </w:pPr>
            <w:r>
              <w:t>3.3</w:t>
            </w:r>
            <w:r>
              <w:tab/>
            </w:r>
            <w:r w:rsidRPr="00EB22EF">
              <w:t xml:space="preserve">Information to the community is not timely or </w:t>
            </w:r>
            <w:r>
              <w:t xml:space="preserve">does not </w:t>
            </w:r>
            <w:r w:rsidRPr="00EB22EF">
              <w:t xml:space="preserve">meet their needs </w:t>
            </w:r>
          </w:p>
        </w:tc>
        <w:tc>
          <w:tcPr>
            <w:tcW w:w="993" w:type="dxa"/>
            <w:vMerge w:val="restart"/>
            <w:shd w:val="clear" w:color="auto" w:fill="auto"/>
          </w:tcPr>
          <w:p w14:paraId="1296B414" w14:textId="77777777" w:rsidR="000266D1" w:rsidRPr="00CE2878" w:rsidRDefault="000266D1" w:rsidP="000266D1">
            <w:pPr>
              <w:pStyle w:val="TableText0"/>
              <w:keepNext w:val="0"/>
              <w:rPr>
                <w:sz w:val="20"/>
              </w:rPr>
            </w:pPr>
          </w:p>
        </w:tc>
        <w:tc>
          <w:tcPr>
            <w:tcW w:w="992" w:type="dxa"/>
            <w:vMerge w:val="restart"/>
            <w:shd w:val="clear" w:color="auto" w:fill="auto"/>
          </w:tcPr>
          <w:p w14:paraId="3A8718D7" w14:textId="77777777" w:rsidR="000266D1" w:rsidRPr="00CE2878" w:rsidRDefault="000266D1" w:rsidP="000266D1">
            <w:pPr>
              <w:pStyle w:val="TableText0"/>
              <w:keepNext w:val="0"/>
              <w:rPr>
                <w:sz w:val="20"/>
              </w:rPr>
            </w:pPr>
          </w:p>
        </w:tc>
        <w:tc>
          <w:tcPr>
            <w:tcW w:w="1701" w:type="dxa"/>
            <w:vMerge w:val="restart"/>
            <w:shd w:val="clear" w:color="auto" w:fill="auto"/>
          </w:tcPr>
          <w:p w14:paraId="6BD0C512" w14:textId="77777777" w:rsidR="000266D1" w:rsidRPr="00CE2878" w:rsidRDefault="000266D1" w:rsidP="000266D1">
            <w:pPr>
              <w:pStyle w:val="TableText0"/>
              <w:keepNext w:val="0"/>
              <w:rPr>
                <w:sz w:val="20"/>
              </w:rPr>
            </w:pPr>
          </w:p>
        </w:tc>
        <w:tc>
          <w:tcPr>
            <w:tcW w:w="3402" w:type="dxa"/>
            <w:shd w:val="clear" w:color="auto" w:fill="auto"/>
          </w:tcPr>
          <w:p w14:paraId="432542FE" w14:textId="77777777" w:rsidR="000266D1" w:rsidRPr="00FE052A" w:rsidRDefault="000266D1" w:rsidP="000266D1">
            <w:pPr>
              <w:pStyle w:val="TableBullet"/>
            </w:pPr>
            <w:r w:rsidRPr="00FE052A">
              <w:t>As for 3.1</w:t>
            </w:r>
          </w:p>
          <w:p w14:paraId="0787E311" w14:textId="77777777" w:rsidR="000266D1" w:rsidRPr="00FE052A" w:rsidRDefault="000266D1" w:rsidP="000266D1">
            <w:pPr>
              <w:pStyle w:val="TableText0"/>
              <w:keepNext w:val="0"/>
            </w:pPr>
          </w:p>
        </w:tc>
      </w:tr>
      <w:tr w:rsidR="000266D1" w:rsidRPr="00CE2878" w14:paraId="74A3901C" w14:textId="77777777" w:rsidTr="004E4C48">
        <w:trPr>
          <w:trHeight w:val="248"/>
        </w:trPr>
        <w:tc>
          <w:tcPr>
            <w:tcW w:w="2376" w:type="dxa"/>
            <w:vMerge/>
            <w:shd w:val="clear" w:color="auto" w:fill="auto"/>
          </w:tcPr>
          <w:p w14:paraId="4DB9462C" w14:textId="77777777" w:rsidR="000266D1" w:rsidRPr="00EB22EF" w:rsidRDefault="000266D1" w:rsidP="000266D1">
            <w:pPr>
              <w:pStyle w:val="TableText0"/>
              <w:keepNext w:val="0"/>
            </w:pPr>
          </w:p>
        </w:tc>
        <w:tc>
          <w:tcPr>
            <w:tcW w:w="993" w:type="dxa"/>
            <w:vMerge/>
            <w:shd w:val="clear" w:color="auto" w:fill="auto"/>
          </w:tcPr>
          <w:p w14:paraId="57C5F554" w14:textId="77777777" w:rsidR="000266D1" w:rsidRPr="00CE2878" w:rsidRDefault="000266D1" w:rsidP="000266D1">
            <w:pPr>
              <w:pStyle w:val="TableText0"/>
              <w:keepNext w:val="0"/>
              <w:rPr>
                <w:sz w:val="20"/>
              </w:rPr>
            </w:pPr>
          </w:p>
        </w:tc>
        <w:tc>
          <w:tcPr>
            <w:tcW w:w="992" w:type="dxa"/>
            <w:vMerge/>
            <w:shd w:val="clear" w:color="auto" w:fill="auto"/>
          </w:tcPr>
          <w:p w14:paraId="60618536" w14:textId="77777777" w:rsidR="000266D1" w:rsidRPr="00CE2878" w:rsidRDefault="000266D1" w:rsidP="000266D1">
            <w:pPr>
              <w:pStyle w:val="TableText0"/>
              <w:keepNext w:val="0"/>
              <w:rPr>
                <w:sz w:val="20"/>
              </w:rPr>
            </w:pPr>
          </w:p>
        </w:tc>
        <w:tc>
          <w:tcPr>
            <w:tcW w:w="1701" w:type="dxa"/>
            <w:vMerge/>
            <w:shd w:val="clear" w:color="auto" w:fill="auto"/>
          </w:tcPr>
          <w:p w14:paraId="18403F76" w14:textId="77777777" w:rsidR="000266D1" w:rsidRPr="00CE2878" w:rsidRDefault="000266D1" w:rsidP="000266D1">
            <w:pPr>
              <w:pStyle w:val="TableText0"/>
              <w:keepNext w:val="0"/>
              <w:rPr>
                <w:sz w:val="20"/>
              </w:rPr>
            </w:pPr>
          </w:p>
        </w:tc>
        <w:tc>
          <w:tcPr>
            <w:tcW w:w="3402" w:type="dxa"/>
            <w:shd w:val="clear" w:color="auto" w:fill="FFCC99"/>
          </w:tcPr>
          <w:p w14:paraId="73CF5959" w14:textId="77777777" w:rsidR="000266D1" w:rsidRPr="00FE052A" w:rsidRDefault="000266D1" w:rsidP="000266D1">
            <w:pPr>
              <w:pStyle w:val="TableText0"/>
              <w:keepNext w:val="0"/>
            </w:pPr>
          </w:p>
        </w:tc>
      </w:tr>
      <w:tr w:rsidR="000266D1" w:rsidRPr="00CE2878" w14:paraId="17961C11" w14:textId="77777777" w:rsidTr="004E4C48">
        <w:trPr>
          <w:trHeight w:val="230"/>
        </w:trPr>
        <w:tc>
          <w:tcPr>
            <w:tcW w:w="2376" w:type="dxa"/>
            <w:vMerge w:val="restart"/>
            <w:shd w:val="clear" w:color="auto" w:fill="auto"/>
          </w:tcPr>
          <w:p w14:paraId="41DC67DA" w14:textId="77777777" w:rsidR="000266D1" w:rsidRPr="00EB22EF" w:rsidRDefault="000266D1" w:rsidP="000266D1">
            <w:pPr>
              <w:pStyle w:val="TableText0"/>
              <w:keepNext w:val="0"/>
              <w:ind w:left="426" w:hanging="426"/>
            </w:pPr>
            <w:r>
              <w:t>3.4</w:t>
            </w:r>
            <w:r>
              <w:tab/>
            </w:r>
            <w:r w:rsidRPr="00EB22EF">
              <w:t>Failure of community engagement program to build support for response</w:t>
            </w:r>
          </w:p>
        </w:tc>
        <w:tc>
          <w:tcPr>
            <w:tcW w:w="993" w:type="dxa"/>
            <w:vMerge w:val="restart"/>
            <w:shd w:val="clear" w:color="auto" w:fill="auto"/>
          </w:tcPr>
          <w:p w14:paraId="3F88DC67" w14:textId="77777777" w:rsidR="000266D1" w:rsidRPr="00CE2878" w:rsidRDefault="000266D1" w:rsidP="000266D1">
            <w:pPr>
              <w:pStyle w:val="TableText0"/>
              <w:keepNext w:val="0"/>
              <w:rPr>
                <w:sz w:val="20"/>
              </w:rPr>
            </w:pPr>
          </w:p>
        </w:tc>
        <w:tc>
          <w:tcPr>
            <w:tcW w:w="992" w:type="dxa"/>
            <w:vMerge w:val="restart"/>
            <w:shd w:val="clear" w:color="auto" w:fill="auto"/>
          </w:tcPr>
          <w:p w14:paraId="007C3CD4" w14:textId="77777777" w:rsidR="000266D1" w:rsidRPr="00CE2878" w:rsidRDefault="000266D1" w:rsidP="000266D1">
            <w:pPr>
              <w:pStyle w:val="TableText0"/>
              <w:keepNext w:val="0"/>
              <w:rPr>
                <w:sz w:val="20"/>
              </w:rPr>
            </w:pPr>
          </w:p>
        </w:tc>
        <w:tc>
          <w:tcPr>
            <w:tcW w:w="1701" w:type="dxa"/>
            <w:vMerge w:val="restart"/>
            <w:shd w:val="clear" w:color="auto" w:fill="auto"/>
          </w:tcPr>
          <w:p w14:paraId="39364996" w14:textId="77777777" w:rsidR="000266D1" w:rsidRPr="00CE2878" w:rsidRDefault="000266D1" w:rsidP="000266D1">
            <w:pPr>
              <w:pStyle w:val="TableText0"/>
              <w:keepNext w:val="0"/>
              <w:rPr>
                <w:sz w:val="20"/>
              </w:rPr>
            </w:pPr>
          </w:p>
        </w:tc>
        <w:tc>
          <w:tcPr>
            <w:tcW w:w="3402" w:type="dxa"/>
            <w:shd w:val="clear" w:color="auto" w:fill="auto"/>
          </w:tcPr>
          <w:p w14:paraId="72B1DEA6" w14:textId="77777777" w:rsidR="000266D1" w:rsidRPr="00FE052A" w:rsidRDefault="000266D1" w:rsidP="000266D1">
            <w:pPr>
              <w:pStyle w:val="TableBullet"/>
            </w:pPr>
            <w:r w:rsidRPr="00FE052A">
              <w:t>As for 3.1</w:t>
            </w:r>
          </w:p>
          <w:p w14:paraId="2CB785D6" w14:textId="77777777" w:rsidR="000266D1" w:rsidRPr="00FE052A" w:rsidRDefault="000266D1" w:rsidP="000266D1">
            <w:pPr>
              <w:pStyle w:val="TableText0"/>
              <w:keepNext w:val="0"/>
            </w:pPr>
          </w:p>
        </w:tc>
      </w:tr>
      <w:tr w:rsidR="000266D1" w:rsidRPr="00CE2878" w14:paraId="0888D9CE" w14:textId="77777777" w:rsidTr="004E4C48">
        <w:trPr>
          <w:trHeight w:val="230"/>
        </w:trPr>
        <w:tc>
          <w:tcPr>
            <w:tcW w:w="2376" w:type="dxa"/>
            <w:vMerge/>
            <w:shd w:val="clear" w:color="auto" w:fill="auto"/>
          </w:tcPr>
          <w:p w14:paraId="74BF69ED" w14:textId="77777777" w:rsidR="000266D1" w:rsidRPr="00EB22EF" w:rsidRDefault="000266D1" w:rsidP="000266D1">
            <w:pPr>
              <w:pStyle w:val="TableText0"/>
              <w:keepNext w:val="0"/>
            </w:pPr>
          </w:p>
        </w:tc>
        <w:tc>
          <w:tcPr>
            <w:tcW w:w="993" w:type="dxa"/>
            <w:vMerge/>
            <w:shd w:val="clear" w:color="auto" w:fill="auto"/>
          </w:tcPr>
          <w:p w14:paraId="6E4F9A50" w14:textId="77777777" w:rsidR="000266D1" w:rsidRPr="00CE2878" w:rsidRDefault="000266D1" w:rsidP="000266D1">
            <w:pPr>
              <w:pStyle w:val="TableText0"/>
              <w:keepNext w:val="0"/>
              <w:rPr>
                <w:sz w:val="20"/>
              </w:rPr>
            </w:pPr>
          </w:p>
        </w:tc>
        <w:tc>
          <w:tcPr>
            <w:tcW w:w="992" w:type="dxa"/>
            <w:vMerge/>
            <w:shd w:val="clear" w:color="auto" w:fill="auto"/>
          </w:tcPr>
          <w:p w14:paraId="7EDFDA95" w14:textId="77777777" w:rsidR="000266D1" w:rsidRPr="00CE2878" w:rsidRDefault="000266D1" w:rsidP="000266D1">
            <w:pPr>
              <w:pStyle w:val="TableText0"/>
              <w:keepNext w:val="0"/>
              <w:rPr>
                <w:sz w:val="20"/>
              </w:rPr>
            </w:pPr>
          </w:p>
        </w:tc>
        <w:tc>
          <w:tcPr>
            <w:tcW w:w="1701" w:type="dxa"/>
            <w:vMerge/>
            <w:shd w:val="clear" w:color="auto" w:fill="auto"/>
          </w:tcPr>
          <w:p w14:paraId="6CD17924" w14:textId="77777777" w:rsidR="000266D1" w:rsidRPr="00CE2878" w:rsidRDefault="000266D1" w:rsidP="000266D1">
            <w:pPr>
              <w:pStyle w:val="TableText0"/>
              <w:keepNext w:val="0"/>
              <w:rPr>
                <w:sz w:val="20"/>
              </w:rPr>
            </w:pPr>
          </w:p>
        </w:tc>
        <w:tc>
          <w:tcPr>
            <w:tcW w:w="3402" w:type="dxa"/>
            <w:shd w:val="clear" w:color="auto" w:fill="FFCC99"/>
          </w:tcPr>
          <w:p w14:paraId="3B215363" w14:textId="77777777" w:rsidR="000266D1" w:rsidRPr="00FE052A" w:rsidRDefault="000266D1" w:rsidP="000266D1">
            <w:pPr>
              <w:pStyle w:val="TableText0"/>
              <w:keepNext w:val="0"/>
            </w:pPr>
          </w:p>
        </w:tc>
      </w:tr>
      <w:tr w:rsidR="000266D1" w:rsidRPr="00F93BCA" w14:paraId="148DD63F" w14:textId="77777777" w:rsidTr="004E4C48">
        <w:tc>
          <w:tcPr>
            <w:tcW w:w="9464" w:type="dxa"/>
            <w:gridSpan w:val="5"/>
            <w:shd w:val="clear" w:color="auto" w:fill="F2F2F2" w:themeFill="background1" w:themeFillShade="F2"/>
          </w:tcPr>
          <w:p w14:paraId="05186957" w14:textId="77777777" w:rsidR="000266D1" w:rsidRPr="00F93BCA" w:rsidRDefault="000266D1" w:rsidP="006E645C">
            <w:pPr>
              <w:pStyle w:val="TableText0"/>
              <w:rPr>
                <w:b/>
              </w:rPr>
            </w:pPr>
            <w:r w:rsidRPr="00F93BCA">
              <w:rPr>
                <w:b/>
              </w:rPr>
              <w:t>4 Economic and budget risks</w:t>
            </w:r>
          </w:p>
        </w:tc>
      </w:tr>
      <w:tr w:rsidR="000266D1" w:rsidRPr="00CE2878" w14:paraId="0636057C" w14:textId="77777777" w:rsidTr="004E4C48">
        <w:trPr>
          <w:cantSplit/>
          <w:trHeight w:val="115"/>
        </w:trPr>
        <w:tc>
          <w:tcPr>
            <w:tcW w:w="2376" w:type="dxa"/>
            <w:vMerge w:val="restart"/>
            <w:shd w:val="clear" w:color="auto" w:fill="auto"/>
          </w:tcPr>
          <w:p w14:paraId="2060E5BD" w14:textId="77777777" w:rsidR="000266D1" w:rsidRPr="00EB22EF" w:rsidRDefault="000266D1" w:rsidP="000266D1">
            <w:pPr>
              <w:pStyle w:val="TableText0"/>
              <w:keepNext w:val="0"/>
              <w:ind w:left="426" w:hanging="426"/>
            </w:pPr>
            <w:r>
              <w:t>4.1</w:t>
            </w:r>
            <w:r>
              <w:tab/>
            </w:r>
            <w:r w:rsidRPr="00EB22EF">
              <w:t>Funding support is withdrawn</w:t>
            </w:r>
          </w:p>
        </w:tc>
        <w:tc>
          <w:tcPr>
            <w:tcW w:w="993" w:type="dxa"/>
            <w:vMerge w:val="restart"/>
            <w:shd w:val="clear" w:color="auto" w:fill="auto"/>
          </w:tcPr>
          <w:p w14:paraId="405A35A3" w14:textId="77777777" w:rsidR="000266D1" w:rsidRPr="00CE2878" w:rsidRDefault="000266D1" w:rsidP="000266D1">
            <w:pPr>
              <w:pStyle w:val="TableText0"/>
              <w:keepNext w:val="0"/>
              <w:rPr>
                <w:color w:val="008000"/>
                <w:sz w:val="17"/>
                <w:szCs w:val="24"/>
              </w:rPr>
            </w:pPr>
          </w:p>
        </w:tc>
        <w:tc>
          <w:tcPr>
            <w:tcW w:w="992" w:type="dxa"/>
            <w:vMerge w:val="restart"/>
            <w:shd w:val="clear" w:color="auto" w:fill="auto"/>
          </w:tcPr>
          <w:p w14:paraId="5FC88DF9" w14:textId="77777777" w:rsidR="000266D1" w:rsidRPr="00CE2878" w:rsidRDefault="000266D1" w:rsidP="000266D1">
            <w:pPr>
              <w:pStyle w:val="TableText0"/>
              <w:keepNext w:val="0"/>
              <w:rPr>
                <w:color w:val="FF0000"/>
                <w:sz w:val="17"/>
                <w:szCs w:val="24"/>
              </w:rPr>
            </w:pPr>
          </w:p>
        </w:tc>
        <w:tc>
          <w:tcPr>
            <w:tcW w:w="1701" w:type="dxa"/>
            <w:vMerge w:val="restart"/>
            <w:shd w:val="clear" w:color="auto" w:fill="auto"/>
          </w:tcPr>
          <w:p w14:paraId="2BFB688B" w14:textId="77777777" w:rsidR="000266D1" w:rsidRPr="00CE2878" w:rsidRDefault="000266D1" w:rsidP="000266D1">
            <w:pPr>
              <w:pStyle w:val="TableText0"/>
              <w:keepNext w:val="0"/>
              <w:rPr>
                <w:color w:val="008000"/>
                <w:sz w:val="17"/>
                <w:szCs w:val="24"/>
              </w:rPr>
            </w:pPr>
          </w:p>
        </w:tc>
        <w:tc>
          <w:tcPr>
            <w:tcW w:w="3402" w:type="dxa"/>
            <w:shd w:val="clear" w:color="auto" w:fill="auto"/>
          </w:tcPr>
          <w:p w14:paraId="66E6633A" w14:textId="31D51CAE" w:rsidR="000266D1" w:rsidRPr="00FE052A" w:rsidRDefault="000266D1" w:rsidP="000266D1">
            <w:pPr>
              <w:pStyle w:val="TableBullet"/>
            </w:pPr>
            <w:r w:rsidRPr="00FE052A">
              <w:t>Good situational awareness by key stakeholders based on time</w:t>
            </w:r>
            <w:r>
              <w:t>l</w:t>
            </w:r>
            <w:r w:rsidRPr="00FE052A">
              <w:t>y and quality reporting</w:t>
            </w:r>
            <w:r>
              <w:t>,</w:t>
            </w:r>
            <w:r w:rsidRPr="00FE052A">
              <w:t xml:space="preserve"> including budgets</w:t>
            </w:r>
          </w:p>
          <w:p w14:paraId="2F7993E5" w14:textId="57BA05F1" w:rsidR="000266D1" w:rsidRPr="00FE052A" w:rsidRDefault="000266D1" w:rsidP="000266D1">
            <w:pPr>
              <w:pStyle w:val="TableBullet"/>
            </w:pPr>
            <w:r w:rsidRPr="00FE052A">
              <w:t>National decision-making processes in place</w:t>
            </w:r>
          </w:p>
          <w:p w14:paraId="662B7A47" w14:textId="1682DA60" w:rsidR="000266D1" w:rsidRPr="00FE052A" w:rsidRDefault="000266D1" w:rsidP="000266D1">
            <w:pPr>
              <w:pStyle w:val="TableBullet"/>
            </w:pPr>
            <w:r w:rsidRPr="00FE052A">
              <w:t>Aim, objectives and milestones in place</w:t>
            </w:r>
          </w:p>
          <w:p w14:paraId="2CFED793" w14:textId="350056F6" w:rsidR="000266D1" w:rsidRPr="00FE052A" w:rsidRDefault="000266D1" w:rsidP="000266D1">
            <w:pPr>
              <w:pStyle w:val="TableBullet"/>
            </w:pPr>
            <w:r w:rsidRPr="00FE052A">
              <w:t>Review and monitor</w:t>
            </w:r>
            <w:r>
              <w:t>ing,</w:t>
            </w:r>
            <w:r w:rsidRPr="00FE052A">
              <w:t xml:space="preserve"> including reporting</w:t>
            </w:r>
            <w:r>
              <w:t>,</w:t>
            </w:r>
            <w:r w:rsidRPr="00FE052A">
              <w:t xml:space="preserve"> to become routine for response management</w:t>
            </w:r>
          </w:p>
          <w:p w14:paraId="47A0FDD1" w14:textId="376FA321" w:rsidR="000266D1" w:rsidRPr="00FE052A" w:rsidRDefault="000266D1" w:rsidP="000266D1">
            <w:pPr>
              <w:pStyle w:val="TableBullet"/>
            </w:pPr>
            <w:r w:rsidRPr="00FE052A">
              <w:t>Third</w:t>
            </w:r>
            <w:r>
              <w:t>-</w:t>
            </w:r>
            <w:r w:rsidRPr="00FE052A">
              <w:t xml:space="preserve">party audit to maintain confidence </w:t>
            </w:r>
            <w:r>
              <w:t>of</w:t>
            </w:r>
            <w:r w:rsidRPr="00FE052A">
              <w:t xml:space="preserve"> parties</w:t>
            </w:r>
          </w:p>
        </w:tc>
      </w:tr>
      <w:tr w:rsidR="000266D1" w:rsidRPr="00CE2878" w14:paraId="1D452FE1" w14:textId="77777777" w:rsidTr="004E4C48">
        <w:trPr>
          <w:trHeight w:val="115"/>
        </w:trPr>
        <w:tc>
          <w:tcPr>
            <w:tcW w:w="2376" w:type="dxa"/>
            <w:vMerge/>
            <w:shd w:val="clear" w:color="auto" w:fill="auto"/>
          </w:tcPr>
          <w:p w14:paraId="617D0F41" w14:textId="77777777" w:rsidR="000266D1" w:rsidRPr="00EB22EF" w:rsidRDefault="000266D1" w:rsidP="000266D1">
            <w:pPr>
              <w:pStyle w:val="TableText0"/>
              <w:keepNext w:val="0"/>
            </w:pPr>
          </w:p>
        </w:tc>
        <w:tc>
          <w:tcPr>
            <w:tcW w:w="993" w:type="dxa"/>
            <w:vMerge/>
            <w:shd w:val="clear" w:color="auto" w:fill="auto"/>
          </w:tcPr>
          <w:p w14:paraId="15BF2D12" w14:textId="77777777" w:rsidR="000266D1" w:rsidRPr="00CE2878" w:rsidRDefault="000266D1" w:rsidP="000266D1">
            <w:pPr>
              <w:pStyle w:val="TableText0"/>
              <w:keepNext w:val="0"/>
              <w:rPr>
                <w:sz w:val="20"/>
              </w:rPr>
            </w:pPr>
          </w:p>
        </w:tc>
        <w:tc>
          <w:tcPr>
            <w:tcW w:w="992" w:type="dxa"/>
            <w:vMerge/>
            <w:shd w:val="clear" w:color="auto" w:fill="auto"/>
          </w:tcPr>
          <w:p w14:paraId="6230DA10" w14:textId="77777777" w:rsidR="000266D1" w:rsidRPr="00CE2878" w:rsidRDefault="000266D1" w:rsidP="000266D1">
            <w:pPr>
              <w:pStyle w:val="TableText0"/>
              <w:keepNext w:val="0"/>
              <w:rPr>
                <w:sz w:val="20"/>
              </w:rPr>
            </w:pPr>
          </w:p>
        </w:tc>
        <w:tc>
          <w:tcPr>
            <w:tcW w:w="1701" w:type="dxa"/>
            <w:vMerge/>
            <w:shd w:val="clear" w:color="auto" w:fill="auto"/>
          </w:tcPr>
          <w:p w14:paraId="072A7F71" w14:textId="77777777" w:rsidR="000266D1" w:rsidRPr="00CE2878" w:rsidRDefault="000266D1" w:rsidP="000266D1">
            <w:pPr>
              <w:pStyle w:val="TableText0"/>
              <w:keepNext w:val="0"/>
              <w:rPr>
                <w:sz w:val="20"/>
              </w:rPr>
            </w:pPr>
          </w:p>
        </w:tc>
        <w:tc>
          <w:tcPr>
            <w:tcW w:w="3402" w:type="dxa"/>
            <w:shd w:val="clear" w:color="auto" w:fill="FFCC99"/>
          </w:tcPr>
          <w:p w14:paraId="0467CD8C" w14:textId="77777777" w:rsidR="000266D1" w:rsidRPr="00FE052A" w:rsidRDefault="000266D1" w:rsidP="000266D1">
            <w:pPr>
              <w:pStyle w:val="TableText0"/>
              <w:keepNext w:val="0"/>
            </w:pPr>
          </w:p>
        </w:tc>
      </w:tr>
      <w:tr w:rsidR="000266D1" w:rsidRPr="00CE2878" w14:paraId="091A684E" w14:textId="77777777" w:rsidTr="004E4C48">
        <w:trPr>
          <w:trHeight w:val="230"/>
        </w:trPr>
        <w:tc>
          <w:tcPr>
            <w:tcW w:w="2376" w:type="dxa"/>
            <w:vMerge w:val="restart"/>
            <w:shd w:val="clear" w:color="auto" w:fill="auto"/>
          </w:tcPr>
          <w:p w14:paraId="024A912D" w14:textId="50D1FF3B" w:rsidR="000266D1" w:rsidRPr="00EB22EF" w:rsidRDefault="000266D1" w:rsidP="000266D1">
            <w:pPr>
              <w:pStyle w:val="TableText0"/>
              <w:keepNext w:val="0"/>
              <w:ind w:left="426" w:hanging="426"/>
            </w:pPr>
            <w:r>
              <w:t>4.2</w:t>
            </w:r>
            <w:r>
              <w:tab/>
            </w:r>
            <w:r w:rsidRPr="00EB22EF">
              <w:t>Costs</w:t>
            </w:r>
            <w:r>
              <w:t xml:space="preserve"> and/or </w:t>
            </w:r>
            <w:r w:rsidRPr="00EB22EF">
              <w:t>funding not managed adequately</w:t>
            </w:r>
          </w:p>
        </w:tc>
        <w:tc>
          <w:tcPr>
            <w:tcW w:w="993" w:type="dxa"/>
            <w:vMerge w:val="restart"/>
            <w:shd w:val="clear" w:color="auto" w:fill="auto"/>
          </w:tcPr>
          <w:p w14:paraId="01B014F0" w14:textId="77777777" w:rsidR="000266D1" w:rsidRPr="00CE2878" w:rsidRDefault="000266D1" w:rsidP="000266D1">
            <w:pPr>
              <w:pStyle w:val="TableText0"/>
              <w:keepNext w:val="0"/>
              <w:rPr>
                <w:sz w:val="20"/>
              </w:rPr>
            </w:pPr>
          </w:p>
        </w:tc>
        <w:tc>
          <w:tcPr>
            <w:tcW w:w="992" w:type="dxa"/>
            <w:vMerge w:val="restart"/>
            <w:shd w:val="clear" w:color="auto" w:fill="auto"/>
          </w:tcPr>
          <w:p w14:paraId="5B1FE765" w14:textId="77777777" w:rsidR="000266D1" w:rsidRPr="00CE2878" w:rsidRDefault="000266D1" w:rsidP="000266D1">
            <w:pPr>
              <w:pStyle w:val="TableText0"/>
              <w:keepNext w:val="0"/>
              <w:rPr>
                <w:sz w:val="20"/>
              </w:rPr>
            </w:pPr>
          </w:p>
        </w:tc>
        <w:tc>
          <w:tcPr>
            <w:tcW w:w="1701" w:type="dxa"/>
            <w:vMerge w:val="restart"/>
            <w:shd w:val="clear" w:color="auto" w:fill="auto"/>
          </w:tcPr>
          <w:p w14:paraId="71FD04F8" w14:textId="77777777" w:rsidR="000266D1" w:rsidRPr="00CE2878" w:rsidRDefault="000266D1" w:rsidP="000266D1">
            <w:pPr>
              <w:pStyle w:val="TableText0"/>
              <w:keepNext w:val="0"/>
              <w:rPr>
                <w:sz w:val="20"/>
              </w:rPr>
            </w:pPr>
          </w:p>
        </w:tc>
        <w:tc>
          <w:tcPr>
            <w:tcW w:w="3402" w:type="dxa"/>
            <w:shd w:val="clear" w:color="auto" w:fill="auto"/>
          </w:tcPr>
          <w:p w14:paraId="12B49D40" w14:textId="233956E6" w:rsidR="000266D1" w:rsidRPr="00FE052A" w:rsidRDefault="000266D1" w:rsidP="000266D1">
            <w:pPr>
              <w:pStyle w:val="TableBullet"/>
            </w:pPr>
            <w:r w:rsidRPr="00FE052A">
              <w:t>National governance arrangements for budget management</w:t>
            </w:r>
            <w:r>
              <w:t xml:space="preserve"> in place</w:t>
            </w:r>
          </w:p>
          <w:p w14:paraId="36015D2B" w14:textId="69C76E93" w:rsidR="000266D1" w:rsidRPr="00FE052A" w:rsidRDefault="000266D1" w:rsidP="000266D1">
            <w:pPr>
              <w:pStyle w:val="TableBullet"/>
            </w:pPr>
            <w:r w:rsidRPr="00FE052A">
              <w:t>Timely and detailed reporting on budget</w:t>
            </w:r>
          </w:p>
          <w:p w14:paraId="6D6007F2" w14:textId="22E9E003" w:rsidR="000266D1" w:rsidRPr="00FE052A" w:rsidRDefault="000266D1" w:rsidP="000266D1">
            <w:pPr>
              <w:pStyle w:val="TableBullet"/>
            </w:pPr>
            <w:r w:rsidRPr="00FE052A">
              <w:t>Systematic and structured approach to fund management</w:t>
            </w:r>
          </w:p>
          <w:p w14:paraId="181DBA24" w14:textId="06E1878A" w:rsidR="000266D1" w:rsidRPr="00FE052A" w:rsidRDefault="000266D1" w:rsidP="000266D1">
            <w:pPr>
              <w:pStyle w:val="TableBullet"/>
            </w:pPr>
            <w:r w:rsidRPr="00FE052A">
              <w:t>In</w:t>
            </w:r>
            <w:r>
              <w:t>-</w:t>
            </w:r>
            <w:r w:rsidRPr="00FE052A">
              <w:t>house audits</w:t>
            </w:r>
            <w:r>
              <w:t>,</w:t>
            </w:r>
            <w:r w:rsidRPr="00FE052A">
              <w:t xml:space="preserve"> including</w:t>
            </w:r>
            <w:r>
              <w:t xml:space="preserve"> audits b</w:t>
            </w:r>
            <w:r w:rsidRPr="00FE052A">
              <w:t>y government agency responsible for budget management</w:t>
            </w:r>
          </w:p>
          <w:p w14:paraId="477AA7DB" w14:textId="0C83919C" w:rsidR="000266D1" w:rsidRPr="00FE052A" w:rsidRDefault="000266D1" w:rsidP="000266D1">
            <w:pPr>
              <w:pStyle w:val="TableBullet"/>
            </w:pPr>
            <w:r w:rsidRPr="00FE052A">
              <w:t>Review and monitor</w:t>
            </w:r>
            <w:r>
              <w:t>ing,</w:t>
            </w:r>
            <w:r w:rsidRPr="00FE052A">
              <w:t xml:space="preserve"> including by third</w:t>
            </w:r>
            <w:r>
              <w:t>-</w:t>
            </w:r>
            <w:r w:rsidRPr="00FE052A">
              <w:t>party audit</w:t>
            </w:r>
            <w:r>
              <w:t>,</w:t>
            </w:r>
            <w:r w:rsidRPr="00FE052A">
              <w:t xml:space="preserve"> to ensure </w:t>
            </w:r>
            <w:r>
              <w:t xml:space="preserve">that </w:t>
            </w:r>
            <w:r w:rsidRPr="00FE052A">
              <w:t>systems are in place and delivering as intende</w:t>
            </w:r>
            <w:r>
              <w:t>d</w:t>
            </w:r>
          </w:p>
          <w:p w14:paraId="47865FEA" w14:textId="2E75BD97" w:rsidR="000266D1" w:rsidRPr="00FE052A" w:rsidRDefault="000266D1" w:rsidP="000266D1">
            <w:pPr>
              <w:pStyle w:val="TableBullet"/>
            </w:pPr>
            <w:r w:rsidRPr="00FE052A">
              <w:t>Personnel with responsibilities related to funds management</w:t>
            </w:r>
            <w:r>
              <w:t>,</w:t>
            </w:r>
            <w:r w:rsidRPr="00FE052A">
              <w:t xml:space="preserve"> including approval</w:t>
            </w:r>
            <w:r>
              <w:t>,</w:t>
            </w:r>
            <w:r w:rsidRPr="00FE052A">
              <w:t xml:space="preserve"> are suitably knowledgeable and skilled</w:t>
            </w:r>
          </w:p>
        </w:tc>
      </w:tr>
      <w:tr w:rsidR="000266D1" w:rsidRPr="00CE2878" w14:paraId="726866E0" w14:textId="77777777" w:rsidTr="004E4C48">
        <w:trPr>
          <w:trHeight w:val="230"/>
        </w:trPr>
        <w:tc>
          <w:tcPr>
            <w:tcW w:w="2376" w:type="dxa"/>
            <w:vMerge/>
            <w:shd w:val="clear" w:color="auto" w:fill="auto"/>
          </w:tcPr>
          <w:p w14:paraId="55203913" w14:textId="77777777" w:rsidR="000266D1" w:rsidRPr="00EB22EF" w:rsidRDefault="000266D1" w:rsidP="000266D1">
            <w:pPr>
              <w:pStyle w:val="TableText0"/>
              <w:keepNext w:val="0"/>
              <w:rPr>
                <w:sz w:val="18"/>
                <w:szCs w:val="18"/>
              </w:rPr>
            </w:pPr>
          </w:p>
        </w:tc>
        <w:tc>
          <w:tcPr>
            <w:tcW w:w="993" w:type="dxa"/>
            <w:vMerge/>
            <w:shd w:val="clear" w:color="auto" w:fill="auto"/>
          </w:tcPr>
          <w:p w14:paraId="503A6558" w14:textId="77777777" w:rsidR="000266D1" w:rsidRPr="00CE2878" w:rsidRDefault="000266D1" w:rsidP="000266D1">
            <w:pPr>
              <w:pStyle w:val="TableText0"/>
              <w:keepNext w:val="0"/>
              <w:rPr>
                <w:sz w:val="20"/>
              </w:rPr>
            </w:pPr>
          </w:p>
        </w:tc>
        <w:tc>
          <w:tcPr>
            <w:tcW w:w="992" w:type="dxa"/>
            <w:vMerge/>
            <w:shd w:val="clear" w:color="auto" w:fill="auto"/>
          </w:tcPr>
          <w:p w14:paraId="6B4EB9D5" w14:textId="77777777" w:rsidR="000266D1" w:rsidRPr="00CE2878" w:rsidRDefault="000266D1" w:rsidP="000266D1">
            <w:pPr>
              <w:pStyle w:val="TableText0"/>
              <w:keepNext w:val="0"/>
              <w:rPr>
                <w:sz w:val="20"/>
              </w:rPr>
            </w:pPr>
          </w:p>
        </w:tc>
        <w:tc>
          <w:tcPr>
            <w:tcW w:w="1701" w:type="dxa"/>
            <w:vMerge/>
            <w:shd w:val="clear" w:color="auto" w:fill="auto"/>
          </w:tcPr>
          <w:p w14:paraId="463C0A8D" w14:textId="77777777" w:rsidR="000266D1" w:rsidRPr="00CE2878" w:rsidRDefault="000266D1" w:rsidP="000266D1">
            <w:pPr>
              <w:pStyle w:val="TableText0"/>
              <w:keepNext w:val="0"/>
              <w:rPr>
                <w:sz w:val="20"/>
              </w:rPr>
            </w:pPr>
          </w:p>
        </w:tc>
        <w:tc>
          <w:tcPr>
            <w:tcW w:w="3402" w:type="dxa"/>
            <w:shd w:val="clear" w:color="auto" w:fill="CCFFCC"/>
          </w:tcPr>
          <w:p w14:paraId="086DABE7" w14:textId="77777777" w:rsidR="000266D1" w:rsidRPr="00EB22EF" w:rsidRDefault="000266D1" w:rsidP="000266D1">
            <w:pPr>
              <w:pStyle w:val="TableText0"/>
              <w:keepNext w:val="0"/>
              <w:rPr>
                <w:sz w:val="16"/>
                <w:szCs w:val="16"/>
              </w:rPr>
            </w:pPr>
          </w:p>
        </w:tc>
      </w:tr>
      <w:tr w:rsidR="000266D1" w:rsidRPr="00CE2878" w14:paraId="0B2695DE" w14:textId="77777777" w:rsidTr="004E4C48">
        <w:trPr>
          <w:trHeight w:val="737"/>
        </w:trPr>
        <w:tc>
          <w:tcPr>
            <w:tcW w:w="2376" w:type="dxa"/>
            <w:vMerge w:val="restart"/>
            <w:shd w:val="clear" w:color="auto" w:fill="auto"/>
          </w:tcPr>
          <w:p w14:paraId="2A3F94CA" w14:textId="75F7169E" w:rsidR="000266D1" w:rsidRPr="00EB22EF" w:rsidRDefault="000266D1" w:rsidP="000266D1">
            <w:pPr>
              <w:pStyle w:val="TableText0"/>
              <w:keepNext w:val="0"/>
              <w:ind w:left="426" w:hanging="426"/>
            </w:pPr>
            <w:r>
              <w:t>4.3</w:t>
            </w:r>
            <w:r>
              <w:tab/>
            </w:r>
            <w:r w:rsidRPr="00EB22EF">
              <w:t xml:space="preserve">Finance management not adequate to meet </w:t>
            </w:r>
            <w:r>
              <w:t>standards</w:t>
            </w:r>
            <w:r w:rsidRPr="00EB22EF">
              <w:t xml:space="preserve"> and allow good </w:t>
            </w:r>
            <w:r>
              <w:t>management</w:t>
            </w:r>
            <w:r w:rsidRPr="00EB22EF">
              <w:t xml:space="preserve"> of finances </w:t>
            </w:r>
          </w:p>
        </w:tc>
        <w:tc>
          <w:tcPr>
            <w:tcW w:w="993" w:type="dxa"/>
            <w:vMerge w:val="restart"/>
            <w:shd w:val="clear" w:color="auto" w:fill="auto"/>
          </w:tcPr>
          <w:p w14:paraId="643BD522" w14:textId="77777777" w:rsidR="000266D1" w:rsidRPr="00CE2878" w:rsidRDefault="000266D1" w:rsidP="000266D1">
            <w:pPr>
              <w:pStyle w:val="TableText0"/>
              <w:keepNext w:val="0"/>
              <w:rPr>
                <w:sz w:val="20"/>
              </w:rPr>
            </w:pPr>
          </w:p>
        </w:tc>
        <w:tc>
          <w:tcPr>
            <w:tcW w:w="992" w:type="dxa"/>
            <w:vMerge w:val="restart"/>
            <w:shd w:val="clear" w:color="auto" w:fill="auto"/>
          </w:tcPr>
          <w:p w14:paraId="666C6BB1" w14:textId="77777777" w:rsidR="000266D1" w:rsidRPr="00CE2878" w:rsidRDefault="000266D1" w:rsidP="000266D1">
            <w:pPr>
              <w:pStyle w:val="TableText0"/>
              <w:keepNext w:val="0"/>
              <w:rPr>
                <w:sz w:val="20"/>
              </w:rPr>
            </w:pPr>
          </w:p>
        </w:tc>
        <w:tc>
          <w:tcPr>
            <w:tcW w:w="1701" w:type="dxa"/>
            <w:vMerge w:val="restart"/>
            <w:shd w:val="clear" w:color="auto" w:fill="auto"/>
          </w:tcPr>
          <w:p w14:paraId="686C462E" w14:textId="77777777" w:rsidR="000266D1" w:rsidRPr="00CE2878" w:rsidRDefault="000266D1" w:rsidP="000266D1">
            <w:pPr>
              <w:pStyle w:val="TableText0"/>
              <w:keepNext w:val="0"/>
              <w:rPr>
                <w:sz w:val="20"/>
              </w:rPr>
            </w:pPr>
          </w:p>
        </w:tc>
        <w:tc>
          <w:tcPr>
            <w:tcW w:w="3402" w:type="dxa"/>
            <w:shd w:val="clear" w:color="auto" w:fill="auto"/>
          </w:tcPr>
          <w:p w14:paraId="1CCD4D99" w14:textId="77777777" w:rsidR="000266D1" w:rsidRPr="00FE052A" w:rsidRDefault="000266D1" w:rsidP="000266D1">
            <w:pPr>
              <w:pStyle w:val="TableBullet"/>
            </w:pPr>
            <w:r w:rsidRPr="00FE052A">
              <w:t>As for 4.2</w:t>
            </w:r>
          </w:p>
        </w:tc>
      </w:tr>
      <w:tr w:rsidR="000266D1" w:rsidRPr="00CE2878" w14:paraId="31053B10" w14:textId="77777777" w:rsidTr="004E4C48">
        <w:trPr>
          <w:trHeight w:val="257"/>
        </w:trPr>
        <w:tc>
          <w:tcPr>
            <w:tcW w:w="2376" w:type="dxa"/>
            <w:vMerge/>
            <w:shd w:val="clear" w:color="auto" w:fill="auto"/>
          </w:tcPr>
          <w:p w14:paraId="62500A5D" w14:textId="77777777" w:rsidR="000266D1" w:rsidRPr="00EB22EF" w:rsidRDefault="000266D1" w:rsidP="000266D1">
            <w:pPr>
              <w:pStyle w:val="TableText0"/>
              <w:keepNext w:val="0"/>
            </w:pPr>
          </w:p>
        </w:tc>
        <w:tc>
          <w:tcPr>
            <w:tcW w:w="993" w:type="dxa"/>
            <w:vMerge/>
            <w:shd w:val="clear" w:color="auto" w:fill="auto"/>
          </w:tcPr>
          <w:p w14:paraId="33AA6BC6" w14:textId="77777777" w:rsidR="000266D1" w:rsidRPr="00CE2878" w:rsidRDefault="000266D1" w:rsidP="000266D1">
            <w:pPr>
              <w:pStyle w:val="TableText0"/>
              <w:keepNext w:val="0"/>
              <w:rPr>
                <w:sz w:val="20"/>
              </w:rPr>
            </w:pPr>
          </w:p>
        </w:tc>
        <w:tc>
          <w:tcPr>
            <w:tcW w:w="992" w:type="dxa"/>
            <w:vMerge/>
            <w:shd w:val="clear" w:color="auto" w:fill="auto"/>
          </w:tcPr>
          <w:p w14:paraId="2BF56A8A" w14:textId="77777777" w:rsidR="000266D1" w:rsidRPr="00CE2878" w:rsidRDefault="000266D1" w:rsidP="000266D1">
            <w:pPr>
              <w:pStyle w:val="TableText0"/>
              <w:keepNext w:val="0"/>
              <w:rPr>
                <w:sz w:val="20"/>
              </w:rPr>
            </w:pPr>
          </w:p>
        </w:tc>
        <w:tc>
          <w:tcPr>
            <w:tcW w:w="1701" w:type="dxa"/>
            <w:vMerge/>
            <w:shd w:val="clear" w:color="auto" w:fill="auto"/>
          </w:tcPr>
          <w:p w14:paraId="01050149" w14:textId="77777777" w:rsidR="000266D1" w:rsidRPr="00CE2878" w:rsidRDefault="000266D1" w:rsidP="000266D1">
            <w:pPr>
              <w:pStyle w:val="TableText0"/>
              <w:keepNext w:val="0"/>
              <w:rPr>
                <w:sz w:val="20"/>
              </w:rPr>
            </w:pPr>
          </w:p>
        </w:tc>
        <w:tc>
          <w:tcPr>
            <w:tcW w:w="3402" w:type="dxa"/>
            <w:shd w:val="clear" w:color="auto" w:fill="CCFFCC"/>
          </w:tcPr>
          <w:p w14:paraId="380EF622" w14:textId="77777777" w:rsidR="000266D1" w:rsidRPr="00FE052A" w:rsidRDefault="000266D1" w:rsidP="000266D1">
            <w:pPr>
              <w:pStyle w:val="TableText0"/>
              <w:keepNext w:val="0"/>
            </w:pPr>
          </w:p>
        </w:tc>
      </w:tr>
      <w:tr w:rsidR="000266D1" w:rsidRPr="00CE2878" w14:paraId="2C36FE29" w14:textId="77777777" w:rsidTr="004E4C48">
        <w:trPr>
          <w:trHeight w:val="944"/>
        </w:trPr>
        <w:tc>
          <w:tcPr>
            <w:tcW w:w="2376" w:type="dxa"/>
            <w:vMerge w:val="restart"/>
            <w:shd w:val="clear" w:color="auto" w:fill="auto"/>
          </w:tcPr>
          <w:p w14:paraId="30B7A968" w14:textId="5B08CFBF" w:rsidR="000266D1" w:rsidRPr="00EB22EF" w:rsidRDefault="000266D1" w:rsidP="000266D1">
            <w:pPr>
              <w:pStyle w:val="TableText0"/>
              <w:keepNext w:val="0"/>
              <w:ind w:left="426" w:hanging="426"/>
            </w:pPr>
            <w:r>
              <w:t>4.4</w:t>
            </w:r>
            <w:r>
              <w:tab/>
            </w:r>
            <w:r w:rsidRPr="00EB22EF">
              <w:t xml:space="preserve">Procurement processes inadequate to meet </w:t>
            </w:r>
            <w:r>
              <w:t>government</w:t>
            </w:r>
            <w:r w:rsidRPr="00EB22EF">
              <w:t xml:space="preserve"> </w:t>
            </w:r>
            <w:r>
              <w:t>standards</w:t>
            </w:r>
            <w:r w:rsidRPr="00EB22EF">
              <w:t xml:space="preserve"> and deliver cost effectiveness</w:t>
            </w:r>
          </w:p>
        </w:tc>
        <w:tc>
          <w:tcPr>
            <w:tcW w:w="993" w:type="dxa"/>
            <w:vMerge w:val="restart"/>
            <w:shd w:val="clear" w:color="auto" w:fill="auto"/>
          </w:tcPr>
          <w:p w14:paraId="10EAD765" w14:textId="77777777" w:rsidR="000266D1" w:rsidRPr="00CE2878" w:rsidRDefault="000266D1" w:rsidP="000266D1">
            <w:pPr>
              <w:pStyle w:val="TableText0"/>
              <w:keepNext w:val="0"/>
              <w:rPr>
                <w:sz w:val="20"/>
              </w:rPr>
            </w:pPr>
          </w:p>
        </w:tc>
        <w:tc>
          <w:tcPr>
            <w:tcW w:w="992" w:type="dxa"/>
            <w:vMerge w:val="restart"/>
            <w:shd w:val="clear" w:color="auto" w:fill="auto"/>
          </w:tcPr>
          <w:p w14:paraId="1C5604A7" w14:textId="77777777" w:rsidR="000266D1" w:rsidRPr="00CE2878" w:rsidRDefault="000266D1" w:rsidP="000266D1">
            <w:pPr>
              <w:pStyle w:val="TableText0"/>
              <w:keepNext w:val="0"/>
              <w:rPr>
                <w:sz w:val="20"/>
              </w:rPr>
            </w:pPr>
          </w:p>
        </w:tc>
        <w:tc>
          <w:tcPr>
            <w:tcW w:w="1701" w:type="dxa"/>
            <w:vMerge w:val="restart"/>
            <w:shd w:val="clear" w:color="auto" w:fill="auto"/>
          </w:tcPr>
          <w:p w14:paraId="2AFD2EAB" w14:textId="77777777" w:rsidR="000266D1" w:rsidRPr="00CE2878" w:rsidRDefault="000266D1" w:rsidP="000266D1">
            <w:pPr>
              <w:pStyle w:val="TableText0"/>
              <w:keepNext w:val="0"/>
              <w:rPr>
                <w:sz w:val="20"/>
              </w:rPr>
            </w:pPr>
          </w:p>
        </w:tc>
        <w:tc>
          <w:tcPr>
            <w:tcW w:w="3402" w:type="dxa"/>
            <w:shd w:val="clear" w:color="auto" w:fill="auto"/>
          </w:tcPr>
          <w:p w14:paraId="4DF43235" w14:textId="77777777" w:rsidR="000266D1" w:rsidRPr="00FE052A" w:rsidRDefault="000266D1" w:rsidP="000266D1">
            <w:pPr>
              <w:pStyle w:val="TableBullet"/>
            </w:pPr>
            <w:r w:rsidRPr="00FE052A">
              <w:t>As for 4.2</w:t>
            </w:r>
          </w:p>
        </w:tc>
      </w:tr>
      <w:tr w:rsidR="000266D1" w:rsidRPr="00CE2878" w14:paraId="469B4A47" w14:textId="77777777" w:rsidTr="004E4C48">
        <w:trPr>
          <w:trHeight w:val="158"/>
        </w:trPr>
        <w:tc>
          <w:tcPr>
            <w:tcW w:w="2376" w:type="dxa"/>
            <w:vMerge/>
            <w:shd w:val="clear" w:color="auto" w:fill="auto"/>
          </w:tcPr>
          <w:p w14:paraId="54C13BBE" w14:textId="77777777" w:rsidR="000266D1" w:rsidRPr="00EB22EF" w:rsidRDefault="000266D1" w:rsidP="000266D1">
            <w:pPr>
              <w:pStyle w:val="TableText0"/>
              <w:keepNext w:val="0"/>
            </w:pPr>
          </w:p>
        </w:tc>
        <w:tc>
          <w:tcPr>
            <w:tcW w:w="993" w:type="dxa"/>
            <w:vMerge/>
            <w:shd w:val="clear" w:color="auto" w:fill="auto"/>
          </w:tcPr>
          <w:p w14:paraId="141DC17E" w14:textId="77777777" w:rsidR="000266D1" w:rsidRPr="00CE2878" w:rsidRDefault="000266D1" w:rsidP="000266D1">
            <w:pPr>
              <w:pStyle w:val="TableText0"/>
              <w:keepNext w:val="0"/>
              <w:rPr>
                <w:sz w:val="20"/>
              </w:rPr>
            </w:pPr>
          </w:p>
        </w:tc>
        <w:tc>
          <w:tcPr>
            <w:tcW w:w="992" w:type="dxa"/>
            <w:vMerge/>
            <w:shd w:val="clear" w:color="auto" w:fill="auto"/>
          </w:tcPr>
          <w:p w14:paraId="5494AD9A" w14:textId="77777777" w:rsidR="000266D1" w:rsidRPr="00CE2878" w:rsidRDefault="000266D1" w:rsidP="000266D1">
            <w:pPr>
              <w:pStyle w:val="TableText0"/>
              <w:keepNext w:val="0"/>
              <w:rPr>
                <w:sz w:val="20"/>
              </w:rPr>
            </w:pPr>
          </w:p>
        </w:tc>
        <w:tc>
          <w:tcPr>
            <w:tcW w:w="1701" w:type="dxa"/>
            <w:vMerge/>
            <w:shd w:val="clear" w:color="auto" w:fill="auto"/>
          </w:tcPr>
          <w:p w14:paraId="66D4DAF0" w14:textId="77777777" w:rsidR="000266D1" w:rsidRPr="00CE2878" w:rsidRDefault="000266D1" w:rsidP="000266D1">
            <w:pPr>
              <w:pStyle w:val="TableText0"/>
              <w:keepNext w:val="0"/>
              <w:rPr>
                <w:sz w:val="20"/>
              </w:rPr>
            </w:pPr>
          </w:p>
        </w:tc>
        <w:tc>
          <w:tcPr>
            <w:tcW w:w="3402" w:type="dxa"/>
            <w:shd w:val="clear" w:color="auto" w:fill="CCFFCC"/>
          </w:tcPr>
          <w:p w14:paraId="0EE01BE8" w14:textId="77777777" w:rsidR="000266D1" w:rsidRPr="00FE052A" w:rsidRDefault="000266D1" w:rsidP="000266D1">
            <w:pPr>
              <w:pStyle w:val="TableText0"/>
              <w:keepNext w:val="0"/>
            </w:pPr>
          </w:p>
        </w:tc>
      </w:tr>
      <w:tr w:rsidR="000266D1" w:rsidRPr="00CE2878" w14:paraId="3D239BBF" w14:textId="77777777" w:rsidTr="004E4C48">
        <w:trPr>
          <w:trHeight w:val="345"/>
        </w:trPr>
        <w:tc>
          <w:tcPr>
            <w:tcW w:w="2376" w:type="dxa"/>
            <w:vMerge w:val="restart"/>
            <w:shd w:val="clear" w:color="auto" w:fill="auto"/>
          </w:tcPr>
          <w:p w14:paraId="4E7D6C12" w14:textId="7F1E753A" w:rsidR="000266D1" w:rsidRPr="00EB22EF" w:rsidRDefault="000266D1" w:rsidP="000266D1">
            <w:pPr>
              <w:pStyle w:val="TableText0"/>
              <w:keepNext w:val="0"/>
              <w:ind w:left="426" w:hanging="426"/>
            </w:pPr>
            <w:r>
              <w:t>4.5</w:t>
            </w:r>
            <w:r>
              <w:tab/>
            </w:r>
            <w:r w:rsidRPr="00EB22EF">
              <w:t>Partner</w:t>
            </w:r>
            <w:r>
              <w:t xml:space="preserve"> and </w:t>
            </w:r>
            <w:r w:rsidRPr="00EB22EF">
              <w:t xml:space="preserve">stakeholder businesses and allied industries collapse or withdrew </w:t>
            </w:r>
            <w:r>
              <w:t xml:space="preserve">from </w:t>
            </w:r>
            <w:r w:rsidRPr="00EB22EF">
              <w:t>sector</w:t>
            </w:r>
          </w:p>
        </w:tc>
        <w:tc>
          <w:tcPr>
            <w:tcW w:w="993" w:type="dxa"/>
            <w:vMerge w:val="restart"/>
            <w:shd w:val="clear" w:color="auto" w:fill="auto"/>
          </w:tcPr>
          <w:p w14:paraId="3CA7C60E" w14:textId="77777777" w:rsidR="000266D1" w:rsidRPr="00CE2878" w:rsidRDefault="000266D1" w:rsidP="000266D1">
            <w:pPr>
              <w:pStyle w:val="TableText0"/>
              <w:keepNext w:val="0"/>
              <w:rPr>
                <w:sz w:val="20"/>
              </w:rPr>
            </w:pPr>
          </w:p>
        </w:tc>
        <w:tc>
          <w:tcPr>
            <w:tcW w:w="992" w:type="dxa"/>
            <w:vMerge w:val="restart"/>
            <w:shd w:val="clear" w:color="auto" w:fill="auto"/>
          </w:tcPr>
          <w:p w14:paraId="0B65E6EC" w14:textId="77777777" w:rsidR="000266D1" w:rsidRPr="00CE2878" w:rsidRDefault="000266D1" w:rsidP="000266D1">
            <w:pPr>
              <w:pStyle w:val="TableText0"/>
              <w:keepNext w:val="0"/>
              <w:rPr>
                <w:sz w:val="20"/>
              </w:rPr>
            </w:pPr>
          </w:p>
        </w:tc>
        <w:tc>
          <w:tcPr>
            <w:tcW w:w="1701" w:type="dxa"/>
            <w:vMerge w:val="restart"/>
            <w:shd w:val="clear" w:color="auto" w:fill="auto"/>
          </w:tcPr>
          <w:p w14:paraId="5F58AB6C" w14:textId="77777777" w:rsidR="000266D1" w:rsidRPr="00CE2878" w:rsidRDefault="000266D1" w:rsidP="000266D1">
            <w:pPr>
              <w:pStyle w:val="TableText0"/>
              <w:keepNext w:val="0"/>
              <w:rPr>
                <w:sz w:val="20"/>
              </w:rPr>
            </w:pPr>
          </w:p>
        </w:tc>
        <w:tc>
          <w:tcPr>
            <w:tcW w:w="3402" w:type="dxa"/>
            <w:shd w:val="clear" w:color="auto" w:fill="auto"/>
          </w:tcPr>
          <w:p w14:paraId="67B53735" w14:textId="4E843545" w:rsidR="000266D1" w:rsidRPr="00FE052A" w:rsidRDefault="000266D1" w:rsidP="000266D1">
            <w:pPr>
              <w:pStyle w:val="TableBullet"/>
            </w:pPr>
            <w:r w:rsidRPr="00FE052A">
              <w:t>Active participation by partners in decision making as it relates to their business</w:t>
            </w:r>
          </w:p>
          <w:p w14:paraId="2E13D874" w14:textId="40FC7401" w:rsidR="000266D1" w:rsidRPr="00FE052A" w:rsidRDefault="000266D1" w:rsidP="000266D1">
            <w:pPr>
              <w:pStyle w:val="TableBullet"/>
            </w:pPr>
            <w:r w:rsidRPr="00FE052A">
              <w:t>Recovery plan developed and supported by government</w:t>
            </w:r>
          </w:p>
          <w:p w14:paraId="4A6398B5" w14:textId="2FFB1F55" w:rsidR="000266D1" w:rsidRPr="00FE052A" w:rsidRDefault="000266D1" w:rsidP="000266D1">
            <w:pPr>
              <w:pStyle w:val="TableBullet"/>
            </w:pPr>
            <w:r w:rsidRPr="007B3ABA">
              <w:t>WOG</w:t>
            </w:r>
            <w:r w:rsidRPr="00FE052A">
              <w:t xml:space="preserve"> approach to maintenance of government partners</w:t>
            </w:r>
          </w:p>
          <w:p w14:paraId="69E624EE" w14:textId="4FEDD8F8" w:rsidR="000266D1" w:rsidRPr="00FE052A" w:rsidRDefault="000266D1" w:rsidP="000266D1">
            <w:pPr>
              <w:pStyle w:val="TableBullet"/>
            </w:pPr>
            <w:r w:rsidRPr="00FE052A">
              <w:t>Use of partner resources as part of response delivery</w:t>
            </w:r>
            <w:r>
              <w:t>,</w:t>
            </w:r>
            <w:r w:rsidRPr="00FE052A">
              <w:t xml:space="preserve"> where appropriate</w:t>
            </w:r>
          </w:p>
        </w:tc>
      </w:tr>
      <w:tr w:rsidR="000266D1" w:rsidRPr="00CE2878" w14:paraId="29C6FEDF" w14:textId="77777777" w:rsidTr="004E4C48">
        <w:trPr>
          <w:trHeight w:val="203"/>
        </w:trPr>
        <w:tc>
          <w:tcPr>
            <w:tcW w:w="2376" w:type="dxa"/>
            <w:vMerge/>
            <w:shd w:val="clear" w:color="auto" w:fill="auto"/>
          </w:tcPr>
          <w:p w14:paraId="1A1ACDB3" w14:textId="77777777" w:rsidR="000266D1" w:rsidRPr="00EB22EF" w:rsidRDefault="000266D1" w:rsidP="000266D1">
            <w:pPr>
              <w:pStyle w:val="TableText0"/>
              <w:keepNext w:val="0"/>
            </w:pPr>
          </w:p>
        </w:tc>
        <w:tc>
          <w:tcPr>
            <w:tcW w:w="993" w:type="dxa"/>
            <w:vMerge/>
            <w:shd w:val="clear" w:color="auto" w:fill="auto"/>
          </w:tcPr>
          <w:p w14:paraId="1152014E" w14:textId="77777777" w:rsidR="000266D1" w:rsidRPr="00CE2878" w:rsidRDefault="000266D1" w:rsidP="000266D1">
            <w:pPr>
              <w:pStyle w:val="TableText0"/>
              <w:keepNext w:val="0"/>
              <w:rPr>
                <w:sz w:val="20"/>
              </w:rPr>
            </w:pPr>
          </w:p>
        </w:tc>
        <w:tc>
          <w:tcPr>
            <w:tcW w:w="992" w:type="dxa"/>
            <w:vMerge/>
            <w:shd w:val="clear" w:color="auto" w:fill="auto"/>
          </w:tcPr>
          <w:p w14:paraId="1208C66F" w14:textId="77777777" w:rsidR="000266D1" w:rsidRPr="00CE2878" w:rsidRDefault="000266D1" w:rsidP="000266D1">
            <w:pPr>
              <w:pStyle w:val="TableText0"/>
              <w:keepNext w:val="0"/>
              <w:rPr>
                <w:sz w:val="20"/>
              </w:rPr>
            </w:pPr>
          </w:p>
        </w:tc>
        <w:tc>
          <w:tcPr>
            <w:tcW w:w="1701" w:type="dxa"/>
            <w:vMerge/>
            <w:shd w:val="clear" w:color="auto" w:fill="auto"/>
          </w:tcPr>
          <w:p w14:paraId="75B15388" w14:textId="77777777" w:rsidR="000266D1" w:rsidRPr="00CE2878" w:rsidRDefault="000266D1" w:rsidP="000266D1">
            <w:pPr>
              <w:pStyle w:val="TableText0"/>
              <w:keepNext w:val="0"/>
              <w:rPr>
                <w:sz w:val="20"/>
              </w:rPr>
            </w:pPr>
          </w:p>
        </w:tc>
        <w:tc>
          <w:tcPr>
            <w:tcW w:w="3402" w:type="dxa"/>
            <w:shd w:val="clear" w:color="auto" w:fill="CCFFCC"/>
          </w:tcPr>
          <w:p w14:paraId="2EDE85FD" w14:textId="77777777" w:rsidR="000266D1" w:rsidRPr="00FE052A" w:rsidRDefault="000266D1" w:rsidP="000266D1">
            <w:pPr>
              <w:pStyle w:val="TableText0"/>
              <w:keepNext w:val="0"/>
            </w:pPr>
          </w:p>
        </w:tc>
      </w:tr>
      <w:tr w:rsidR="000266D1" w:rsidRPr="00CE2878" w14:paraId="6534E1E4" w14:textId="77777777" w:rsidTr="004E4C48">
        <w:trPr>
          <w:trHeight w:val="230"/>
        </w:trPr>
        <w:tc>
          <w:tcPr>
            <w:tcW w:w="2376" w:type="dxa"/>
            <w:vMerge w:val="restart"/>
            <w:shd w:val="clear" w:color="auto" w:fill="auto"/>
          </w:tcPr>
          <w:p w14:paraId="522C812F" w14:textId="77777777" w:rsidR="000266D1" w:rsidRPr="00EB22EF" w:rsidRDefault="000266D1" w:rsidP="000266D1">
            <w:pPr>
              <w:pStyle w:val="TableText0"/>
              <w:keepNext w:val="0"/>
              <w:ind w:left="426" w:hanging="426"/>
            </w:pPr>
            <w:r>
              <w:t>4.6</w:t>
            </w:r>
            <w:r>
              <w:tab/>
            </w:r>
            <w:r w:rsidRPr="00EB22EF">
              <w:t xml:space="preserve">Response significantly overspends </w:t>
            </w:r>
          </w:p>
        </w:tc>
        <w:tc>
          <w:tcPr>
            <w:tcW w:w="993" w:type="dxa"/>
            <w:vMerge w:val="restart"/>
            <w:shd w:val="clear" w:color="auto" w:fill="auto"/>
          </w:tcPr>
          <w:p w14:paraId="1064CF8E" w14:textId="77777777" w:rsidR="000266D1" w:rsidRPr="00CE2878" w:rsidRDefault="000266D1" w:rsidP="000266D1">
            <w:pPr>
              <w:pStyle w:val="TableText0"/>
              <w:keepNext w:val="0"/>
              <w:rPr>
                <w:sz w:val="20"/>
              </w:rPr>
            </w:pPr>
          </w:p>
        </w:tc>
        <w:tc>
          <w:tcPr>
            <w:tcW w:w="992" w:type="dxa"/>
            <w:vMerge w:val="restart"/>
            <w:shd w:val="clear" w:color="auto" w:fill="auto"/>
          </w:tcPr>
          <w:p w14:paraId="067B2825" w14:textId="77777777" w:rsidR="000266D1" w:rsidRPr="00CE2878" w:rsidRDefault="000266D1" w:rsidP="000266D1">
            <w:pPr>
              <w:pStyle w:val="TableText0"/>
              <w:keepNext w:val="0"/>
              <w:rPr>
                <w:sz w:val="20"/>
              </w:rPr>
            </w:pPr>
          </w:p>
        </w:tc>
        <w:tc>
          <w:tcPr>
            <w:tcW w:w="1701" w:type="dxa"/>
            <w:vMerge w:val="restart"/>
            <w:shd w:val="clear" w:color="auto" w:fill="auto"/>
          </w:tcPr>
          <w:p w14:paraId="3DBFD7B4" w14:textId="77777777" w:rsidR="000266D1" w:rsidRPr="00CE2878" w:rsidRDefault="000266D1" w:rsidP="000266D1">
            <w:pPr>
              <w:pStyle w:val="TableText0"/>
              <w:keepNext w:val="0"/>
              <w:rPr>
                <w:sz w:val="20"/>
              </w:rPr>
            </w:pPr>
          </w:p>
        </w:tc>
        <w:tc>
          <w:tcPr>
            <w:tcW w:w="3402" w:type="dxa"/>
            <w:shd w:val="clear" w:color="auto" w:fill="auto"/>
          </w:tcPr>
          <w:p w14:paraId="03C2DA14" w14:textId="77777777" w:rsidR="000266D1" w:rsidRPr="00FE052A" w:rsidRDefault="000266D1" w:rsidP="000266D1">
            <w:pPr>
              <w:pStyle w:val="TableBullet"/>
            </w:pPr>
            <w:r w:rsidRPr="00FE052A">
              <w:t>As for 4.2</w:t>
            </w:r>
          </w:p>
        </w:tc>
      </w:tr>
      <w:tr w:rsidR="000266D1" w:rsidRPr="00CE2878" w14:paraId="017938EF" w14:textId="77777777" w:rsidTr="004E4C48">
        <w:trPr>
          <w:trHeight w:val="230"/>
        </w:trPr>
        <w:tc>
          <w:tcPr>
            <w:tcW w:w="2376" w:type="dxa"/>
            <w:vMerge/>
            <w:shd w:val="clear" w:color="auto" w:fill="auto"/>
          </w:tcPr>
          <w:p w14:paraId="38CAE39C" w14:textId="77777777" w:rsidR="000266D1" w:rsidRPr="00EB22EF" w:rsidRDefault="000266D1" w:rsidP="000266D1">
            <w:pPr>
              <w:pStyle w:val="TableText0"/>
              <w:keepNext w:val="0"/>
            </w:pPr>
          </w:p>
        </w:tc>
        <w:tc>
          <w:tcPr>
            <w:tcW w:w="993" w:type="dxa"/>
            <w:vMerge/>
            <w:shd w:val="clear" w:color="auto" w:fill="auto"/>
          </w:tcPr>
          <w:p w14:paraId="5A8AB435" w14:textId="77777777" w:rsidR="000266D1" w:rsidRPr="00CE2878" w:rsidRDefault="000266D1" w:rsidP="000266D1">
            <w:pPr>
              <w:pStyle w:val="TableText0"/>
              <w:keepNext w:val="0"/>
              <w:rPr>
                <w:sz w:val="20"/>
              </w:rPr>
            </w:pPr>
          </w:p>
        </w:tc>
        <w:tc>
          <w:tcPr>
            <w:tcW w:w="992" w:type="dxa"/>
            <w:vMerge/>
            <w:shd w:val="clear" w:color="auto" w:fill="auto"/>
          </w:tcPr>
          <w:p w14:paraId="16303B9C" w14:textId="77777777" w:rsidR="000266D1" w:rsidRPr="00CE2878" w:rsidRDefault="000266D1" w:rsidP="000266D1">
            <w:pPr>
              <w:pStyle w:val="TableText0"/>
              <w:keepNext w:val="0"/>
              <w:rPr>
                <w:sz w:val="20"/>
              </w:rPr>
            </w:pPr>
          </w:p>
        </w:tc>
        <w:tc>
          <w:tcPr>
            <w:tcW w:w="1701" w:type="dxa"/>
            <w:vMerge/>
            <w:shd w:val="clear" w:color="auto" w:fill="auto"/>
          </w:tcPr>
          <w:p w14:paraId="536B87CB" w14:textId="77777777" w:rsidR="000266D1" w:rsidRPr="00CE2878" w:rsidRDefault="000266D1" w:rsidP="000266D1">
            <w:pPr>
              <w:pStyle w:val="TableText0"/>
              <w:keepNext w:val="0"/>
              <w:rPr>
                <w:sz w:val="20"/>
              </w:rPr>
            </w:pPr>
          </w:p>
        </w:tc>
        <w:tc>
          <w:tcPr>
            <w:tcW w:w="3402" w:type="dxa"/>
            <w:shd w:val="clear" w:color="auto" w:fill="CCFFCC"/>
          </w:tcPr>
          <w:p w14:paraId="5F455275" w14:textId="77777777" w:rsidR="000266D1" w:rsidRPr="00FE052A" w:rsidRDefault="000266D1" w:rsidP="000266D1">
            <w:pPr>
              <w:pStyle w:val="TableText0"/>
              <w:keepNext w:val="0"/>
            </w:pPr>
          </w:p>
        </w:tc>
      </w:tr>
      <w:tr w:rsidR="000266D1" w:rsidRPr="00CE2878" w14:paraId="6E497DD8" w14:textId="77777777" w:rsidTr="004E4C48">
        <w:trPr>
          <w:trHeight w:val="388"/>
        </w:trPr>
        <w:tc>
          <w:tcPr>
            <w:tcW w:w="2376" w:type="dxa"/>
            <w:vMerge w:val="restart"/>
            <w:shd w:val="clear" w:color="auto" w:fill="auto"/>
          </w:tcPr>
          <w:p w14:paraId="2289E7EA" w14:textId="77777777" w:rsidR="000266D1" w:rsidRPr="00EB22EF" w:rsidRDefault="000266D1" w:rsidP="000266D1">
            <w:pPr>
              <w:pStyle w:val="TableText0"/>
              <w:keepNext w:val="0"/>
              <w:ind w:left="426" w:hanging="426"/>
            </w:pPr>
            <w:r>
              <w:t>4.7</w:t>
            </w:r>
            <w:r>
              <w:tab/>
            </w:r>
            <w:r w:rsidRPr="00EB22EF">
              <w:t>Significant overrun in time to complete response</w:t>
            </w:r>
            <w:r>
              <w:t>,</w:t>
            </w:r>
            <w:r w:rsidRPr="00EB22EF">
              <w:t xml:space="preserve"> resulting in requirement for further funding</w:t>
            </w:r>
          </w:p>
        </w:tc>
        <w:tc>
          <w:tcPr>
            <w:tcW w:w="993" w:type="dxa"/>
            <w:vMerge w:val="restart"/>
            <w:shd w:val="clear" w:color="auto" w:fill="auto"/>
          </w:tcPr>
          <w:p w14:paraId="1F92D39A" w14:textId="77777777" w:rsidR="000266D1" w:rsidRPr="00CE2878" w:rsidRDefault="000266D1" w:rsidP="000266D1">
            <w:pPr>
              <w:pStyle w:val="TableText0"/>
              <w:keepNext w:val="0"/>
              <w:rPr>
                <w:sz w:val="20"/>
              </w:rPr>
            </w:pPr>
          </w:p>
        </w:tc>
        <w:tc>
          <w:tcPr>
            <w:tcW w:w="992" w:type="dxa"/>
            <w:vMerge w:val="restart"/>
            <w:shd w:val="clear" w:color="auto" w:fill="auto"/>
          </w:tcPr>
          <w:p w14:paraId="5ECC86E2" w14:textId="77777777" w:rsidR="000266D1" w:rsidRPr="00CE2878" w:rsidRDefault="000266D1" w:rsidP="000266D1">
            <w:pPr>
              <w:pStyle w:val="TableText0"/>
              <w:keepNext w:val="0"/>
              <w:rPr>
                <w:sz w:val="20"/>
              </w:rPr>
            </w:pPr>
          </w:p>
        </w:tc>
        <w:tc>
          <w:tcPr>
            <w:tcW w:w="1701" w:type="dxa"/>
            <w:vMerge w:val="restart"/>
            <w:shd w:val="clear" w:color="auto" w:fill="auto"/>
          </w:tcPr>
          <w:p w14:paraId="675F7CAE" w14:textId="77777777" w:rsidR="000266D1" w:rsidRPr="00CE2878" w:rsidRDefault="000266D1" w:rsidP="000266D1">
            <w:pPr>
              <w:pStyle w:val="TableText0"/>
              <w:keepNext w:val="0"/>
              <w:rPr>
                <w:sz w:val="20"/>
              </w:rPr>
            </w:pPr>
          </w:p>
        </w:tc>
        <w:tc>
          <w:tcPr>
            <w:tcW w:w="3402" w:type="dxa"/>
            <w:shd w:val="clear" w:color="auto" w:fill="auto"/>
          </w:tcPr>
          <w:p w14:paraId="553F0902" w14:textId="77777777" w:rsidR="000266D1" w:rsidRPr="00FE052A" w:rsidRDefault="000266D1" w:rsidP="000266D1">
            <w:pPr>
              <w:pStyle w:val="TableBullet"/>
            </w:pPr>
            <w:r w:rsidRPr="00FE052A">
              <w:t>As for 4.1</w:t>
            </w:r>
          </w:p>
        </w:tc>
      </w:tr>
      <w:tr w:rsidR="000266D1" w:rsidRPr="00CE2878" w14:paraId="56835EF6" w14:textId="77777777" w:rsidTr="004E4C48">
        <w:trPr>
          <w:trHeight w:val="388"/>
        </w:trPr>
        <w:tc>
          <w:tcPr>
            <w:tcW w:w="2376" w:type="dxa"/>
            <w:vMerge/>
            <w:shd w:val="clear" w:color="auto" w:fill="auto"/>
          </w:tcPr>
          <w:p w14:paraId="146DCBCC" w14:textId="77777777" w:rsidR="000266D1" w:rsidRPr="00EB22EF" w:rsidRDefault="000266D1" w:rsidP="000266D1">
            <w:pPr>
              <w:pStyle w:val="TableText0"/>
              <w:keepNext w:val="0"/>
            </w:pPr>
          </w:p>
        </w:tc>
        <w:tc>
          <w:tcPr>
            <w:tcW w:w="993" w:type="dxa"/>
            <w:vMerge/>
            <w:shd w:val="clear" w:color="auto" w:fill="auto"/>
          </w:tcPr>
          <w:p w14:paraId="532FFC0B" w14:textId="77777777" w:rsidR="000266D1" w:rsidRPr="00CE2878" w:rsidRDefault="000266D1" w:rsidP="000266D1">
            <w:pPr>
              <w:pStyle w:val="TableText0"/>
              <w:keepNext w:val="0"/>
              <w:rPr>
                <w:sz w:val="20"/>
              </w:rPr>
            </w:pPr>
          </w:p>
        </w:tc>
        <w:tc>
          <w:tcPr>
            <w:tcW w:w="992" w:type="dxa"/>
            <w:vMerge/>
            <w:shd w:val="clear" w:color="auto" w:fill="auto"/>
          </w:tcPr>
          <w:p w14:paraId="72E50EE8" w14:textId="77777777" w:rsidR="000266D1" w:rsidRPr="00CE2878" w:rsidRDefault="000266D1" w:rsidP="000266D1">
            <w:pPr>
              <w:pStyle w:val="TableText0"/>
              <w:keepNext w:val="0"/>
              <w:rPr>
                <w:sz w:val="20"/>
              </w:rPr>
            </w:pPr>
          </w:p>
        </w:tc>
        <w:tc>
          <w:tcPr>
            <w:tcW w:w="1701" w:type="dxa"/>
            <w:vMerge/>
            <w:shd w:val="clear" w:color="auto" w:fill="auto"/>
          </w:tcPr>
          <w:p w14:paraId="5879BD1C" w14:textId="77777777" w:rsidR="000266D1" w:rsidRPr="00CE2878" w:rsidRDefault="000266D1" w:rsidP="000266D1">
            <w:pPr>
              <w:pStyle w:val="TableText0"/>
              <w:keepNext w:val="0"/>
              <w:rPr>
                <w:sz w:val="20"/>
              </w:rPr>
            </w:pPr>
          </w:p>
        </w:tc>
        <w:tc>
          <w:tcPr>
            <w:tcW w:w="3402" w:type="dxa"/>
            <w:shd w:val="clear" w:color="auto" w:fill="B9FFB9"/>
          </w:tcPr>
          <w:p w14:paraId="5158CB7D" w14:textId="77777777" w:rsidR="000266D1" w:rsidRPr="00EB22EF" w:rsidRDefault="000266D1" w:rsidP="000266D1">
            <w:pPr>
              <w:pStyle w:val="TableText0"/>
              <w:keepNext w:val="0"/>
              <w:rPr>
                <w:sz w:val="16"/>
                <w:szCs w:val="16"/>
              </w:rPr>
            </w:pPr>
          </w:p>
        </w:tc>
      </w:tr>
      <w:tr w:rsidR="000266D1" w:rsidRPr="00CE2878" w14:paraId="4531F2D1" w14:textId="77777777" w:rsidTr="004E4C48">
        <w:trPr>
          <w:trHeight w:val="1035"/>
        </w:trPr>
        <w:tc>
          <w:tcPr>
            <w:tcW w:w="2376" w:type="dxa"/>
            <w:shd w:val="clear" w:color="auto" w:fill="auto"/>
          </w:tcPr>
          <w:p w14:paraId="08DEFA6F" w14:textId="77777777" w:rsidR="000266D1" w:rsidRPr="00FE052A" w:rsidRDefault="000266D1" w:rsidP="000266D1">
            <w:pPr>
              <w:pStyle w:val="TableText0"/>
              <w:keepNext w:val="0"/>
              <w:ind w:left="426" w:hanging="426"/>
            </w:pPr>
            <w:r>
              <w:t>4.8</w:t>
            </w:r>
            <w:r>
              <w:tab/>
            </w:r>
            <w:r w:rsidRPr="00FE052A">
              <w:t xml:space="preserve">Trade implications through loss of confidence by trading partners </w:t>
            </w:r>
          </w:p>
        </w:tc>
        <w:tc>
          <w:tcPr>
            <w:tcW w:w="993" w:type="dxa"/>
            <w:shd w:val="clear" w:color="auto" w:fill="auto"/>
          </w:tcPr>
          <w:p w14:paraId="6D3A197C" w14:textId="77777777" w:rsidR="000266D1" w:rsidRPr="00FE052A" w:rsidRDefault="000266D1" w:rsidP="000266D1">
            <w:pPr>
              <w:pStyle w:val="TableText0"/>
              <w:keepNext w:val="0"/>
            </w:pPr>
          </w:p>
        </w:tc>
        <w:tc>
          <w:tcPr>
            <w:tcW w:w="992" w:type="dxa"/>
            <w:shd w:val="clear" w:color="auto" w:fill="auto"/>
          </w:tcPr>
          <w:p w14:paraId="68F0ADD8" w14:textId="77777777" w:rsidR="000266D1" w:rsidRPr="00FE052A" w:rsidRDefault="000266D1" w:rsidP="000266D1">
            <w:pPr>
              <w:pStyle w:val="TableText0"/>
              <w:keepNext w:val="0"/>
            </w:pPr>
          </w:p>
        </w:tc>
        <w:tc>
          <w:tcPr>
            <w:tcW w:w="1701" w:type="dxa"/>
            <w:shd w:val="clear" w:color="auto" w:fill="auto"/>
          </w:tcPr>
          <w:p w14:paraId="744A24C9" w14:textId="77777777" w:rsidR="000266D1" w:rsidRPr="00FE052A" w:rsidRDefault="000266D1" w:rsidP="000266D1">
            <w:pPr>
              <w:pStyle w:val="TableText0"/>
              <w:keepNext w:val="0"/>
            </w:pPr>
          </w:p>
        </w:tc>
        <w:tc>
          <w:tcPr>
            <w:tcW w:w="3402" w:type="dxa"/>
            <w:shd w:val="clear" w:color="auto" w:fill="auto"/>
          </w:tcPr>
          <w:p w14:paraId="5B7233BF" w14:textId="77777777" w:rsidR="000266D1" w:rsidRPr="00FE052A" w:rsidRDefault="000266D1" w:rsidP="000266D1">
            <w:pPr>
              <w:pStyle w:val="TableBullet"/>
            </w:pPr>
            <w:r w:rsidRPr="00FE052A">
              <w:t>Structured and systematic management of response</w:t>
            </w:r>
          </w:p>
          <w:p w14:paraId="47380279" w14:textId="77777777" w:rsidR="000266D1" w:rsidRPr="00FE052A" w:rsidRDefault="000266D1" w:rsidP="000266D1">
            <w:pPr>
              <w:pStyle w:val="TableBullet"/>
            </w:pPr>
            <w:r w:rsidRPr="00FE052A">
              <w:t>Compliance with international requirements</w:t>
            </w:r>
          </w:p>
          <w:p w14:paraId="4AC3BEDD" w14:textId="77777777" w:rsidR="000266D1" w:rsidRPr="00FE052A" w:rsidRDefault="000266D1" w:rsidP="000266D1">
            <w:pPr>
              <w:pStyle w:val="TableBullet"/>
            </w:pPr>
            <w:r w:rsidRPr="00FE052A">
              <w:t>Monitoring</w:t>
            </w:r>
            <w:r>
              <w:t>,</w:t>
            </w:r>
            <w:r w:rsidRPr="00FE052A">
              <w:t xml:space="preserve"> including auditing</w:t>
            </w:r>
            <w:r>
              <w:t>,</w:t>
            </w:r>
            <w:r w:rsidRPr="00FE052A">
              <w:t xml:space="preserve"> to ensure high level of confidence in actions</w:t>
            </w:r>
          </w:p>
          <w:p w14:paraId="527DF522" w14:textId="77777777" w:rsidR="000266D1" w:rsidRPr="00FE052A" w:rsidRDefault="000266D1" w:rsidP="000266D1">
            <w:pPr>
              <w:pStyle w:val="TableBullet"/>
            </w:pPr>
            <w:r w:rsidRPr="00FE052A">
              <w:t>Quality and timely reporting to partners</w:t>
            </w:r>
          </w:p>
        </w:tc>
      </w:tr>
      <w:tr w:rsidR="000266D1" w:rsidRPr="00F93BCA" w14:paraId="49C699E5" w14:textId="77777777" w:rsidTr="004E4C48">
        <w:tc>
          <w:tcPr>
            <w:tcW w:w="9464" w:type="dxa"/>
            <w:gridSpan w:val="5"/>
            <w:shd w:val="clear" w:color="auto" w:fill="F2F2F2" w:themeFill="background1" w:themeFillShade="F2"/>
          </w:tcPr>
          <w:p w14:paraId="283D111F" w14:textId="77777777" w:rsidR="000266D1" w:rsidRPr="00F93BCA" w:rsidRDefault="000266D1" w:rsidP="000266D1">
            <w:pPr>
              <w:pStyle w:val="TableText0"/>
              <w:keepNext w:val="0"/>
              <w:rPr>
                <w:b/>
              </w:rPr>
            </w:pPr>
            <w:r w:rsidRPr="00F93BCA">
              <w:rPr>
                <w:b/>
              </w:rPr>
              <w:t>5 Environmental risks</w:t>
            </w:r>
          </w:p>
        </w:tc>
      </w:tr>
      <w:tr w:rsidR="000266D1" w:rsidRPr="00CE2878" w14:paraId="181A20DB" w14:textId="77777777" w:rsidTr="004E4C48">
        <w:trPr>
          <w:trHeight w:val="230"/>
        </w:trPr>
        <w:tc>
          <w:tcPr>
            <w:tcW w:w="2376" w:type="dxa"/>
            <w:vMerge w:val="restart"/>
            <w:shd w:val="clear" w:color="auto" w:fill="auto"/>
          </w:tcPr>
          <w:p w14:paraId="630AB28B" w14:textId="6AD9336F" w:rsidR="000266D1" w:rsidRPr="00FE052A" w:rsidRDefault="000266D1" w:rsidP="000266D1">
            <w:pPr>
              <w:pStyle w:val="TableText0"/>
              <w:keepNext w:val="0"/>
              <w:ind w:left="426" w:hanging="426"/>
            </w:pPr>
            <w:r>
              <w:t>5.1</w:t>
            </w:r>
            <w:r>
              <w:tab/>
            </w:r>
            <w:r w:rsidRPr="00FE052A">
              <w:t xml:space="preserve">Adverse weather </w:t>
            </w:r>
            <w:r>
              <w:t>(</w:t>
            </w:r>
            <w:r w:rsidRPr="00FE052A">
              <w:t>eg heat, wet season, cyclone season</w:t>
            </w:r>
            <w:r>
              <w:t>)</w:t>
            </w:r>
            <w:r w:rsidRPr="00FE052A">
              <w:t xml:space="preserve"> affects ability to complete field operations</w:t>
            </w:r>
          </w:p>
        </w:tc>
        <w:tc>
          <w:tcPr>
            <w:tcW w:w="993" w:type="dxa"/>
            <w:vMerge w:val="restart"/>
            <w:shd w:val="clear" w:color="auto" w:fill="auto"/>
          </w:tcPr>
          <w:p w14:paraId="2C705BDC" w14:textId="77777777" w:rsidR="000266D1" w:rsidRPr="00FE052A" w:rsidRDefault="000266D1" w:rsidP="000266D1">
            <w:pPr>
              <w:pStyle w:val="TableText0"/>
              <w:keepNext w:val="0"/>
            </w:pPr>
          </w:p>
        </w:tc>
        <w:tc>
          <w:tcPr>
            <w:tcW w:w="992" w:type="dxa"/>
            <w:vMerge w:val="restart"/>
            <w:shd w:val="clear" w:color="auto" w:fill="auto"/>
          </w:tcPr>
          <w:p w14:paraId="6D80C6D5" w14:textId="77777777" w:rsidR="000266D1" w:rsidRPr="00FE052A" w:rsidRDefault="000266D1" w:rsidP="000266D1">
            <w:pPr>
              <w:pStyle w:val="TableText0"/>
              <w:keepNext w:val="0"/>
            </w:pPr>
          </w:p>
        </w:tc>
        <w:tc>
          <w:tcPr>
            <w:tcW w:w="1701" w:type="dxa"/>
            <w:vMerge w:val="restart"/>
            <w:shd w:val="clear" w:color="auto" w:fill="auto"/>
          </w:tcPr>
          <w:p w14:paraId="0058D743" w14:textId="77777777" w:rsidR="000266D1" w:rsidRPr="00FE052A" w:rsidRDefault="000266D1" w:rsidP="000266D1">
            <w:pPr>
              <w:pStyle w:val="TableText0"/>
              <w:keepNext w:val="0"/>
            </w:pPr>
          </w:p>
        </w:tc>
        <w:tc>
          <w:tcPr>
            <w:tcW w:w="3402" w:type="dxa"/>
            <w:shd w:val="clear" w:color="auto" w:fill="auto"/>
          </w:tcPr>
          <w:p w14:paraId="6B46DECF" w14:textId="29971A3E" w:rsidR="000266D1" w:rsidRPr="00FE052A" w:rsidRDefault="000266D1" w:rsidP="000266D1">
            <w:pPr>
              <w:pStyle w:val="TableBullet"/>
            </w:pPr>
            <w:r w:rsidRPr="00FE052A">
              <w:t>Planning to allow for normal seasonal variation</w:t>
            </w:r>
            <w:r>
              <w:t>,</w:t>
            </w:r>
            <w:r w:rsidRPr="00FE052A">
              <w:t xml:space="preserve"> including in summer heat and bushfires, wet season, cyclones</w:t>
            </w:r>
          </w:p>
          <w:p w14:paraId="18DE9141" w14:textId="24D68C2D" w:rsidR="000266D1" w:rsidRPr="00FE052A" w:rsidRDefault="000266D1" w:rsidP="000266D1">
            <w:pPr>
              <w:pStyle w:val="TableBullet"/>
            </w:pPr>
            <w:r w:rsidRPr="00FE052A">
              <w:t>Planning to allow for natural disaster impacts on timely delivery of outcomes</w:t>
            </w:r>
          </w:p>
          <w:p w14:paraId="2D773B9D" w14:textId="55CC510B" w:rsidR="000266D1" w:rsidRPr="00FE052A" w:rsidRDefault="000266D1" w:rsidP="000266D1">
            <w:pPr>
              <w:pStyle w:val="TableBullet"/>
            </w:pPr>
            <w:r w:rsidRPr="00FE052A">
              <w:t>Alternative approaches to field operations</w:t>
            </w:r>
          </w:p>
          <w:p w14:paraId="5236B712" w14:textId="3DF337D7" w:rsidR="000266D1" w:rsidRPr="00FE052A" w:rsidRDefault="000266D1" w:rsidP="000266D1">
            <w:pPr>
              <w:pStyle w:val="TableBullet"/>
            </w:pPr>
            <w:r w:rsidRPr="00FE052A">
              <w:t xml:space="preserve">Increased resourcing to complete field operations before </w:t>
            </w:r>
            <w:r>
              <w:t xml:space="preserve">weather </w:t>
            </w:r>
            <w:r w:rsidRPr="00FE052A">
              <w:t>adversely affect</w:t>
            </w:r>
            <w:r>
              <w:t>s</w:t>
            </w:r>
            <w:r w:rsidRPr="00FE052A">
              <w:t xml:space="preserve"> ability to deliver stated outcomes</w:t>
            </w:r>
          </w:p>
        </w:tc>
      </w:tr>
      <w:tr w:rsidR="000266D1" w:rsidRPr="00CE2878" w14:paraId="4550C53C" w14:textId="77777777" w:rsidTr="004E4C48">
        <w:trPr>
          <w:trHeight w:val="98"/>
        </w:trPr>
        <w:tc>
          <w:tcPr>
            <w:tcW w:w="2376" w:type="dxa"/>
            <w:vMerge/>
            <w:shd w:val="clear" w:color="auto" w:fill="auto"/>
          </w:tcPr>
          <w:p w14:paraId="3D6B39F1" w14:textId="77777777" w:rsidR="000266D1" w:rsidRPr="00FE052A" w:rsidRDefault="000266D1" w:rsidP="000266D1">
            <w:pPr>
              <w:pStyle w:val="TableText0"/>
              <w:keepNext w:val="0"/>
            </w:pPr>
          </w:p>
        </w:tc>
        <w:tc>
          <w:tcPr>
            <w:tcW w:w="993" w:type="dxa"/>
            <w:vMerge/>
            <w:shd w:val="clear" w:color="auto" w:fill="auto"/>
          </w:tcPr>
          <w:p w14:paraId="559A97DC" w14:textId="77777777" w:rsidR="000266D1" w:rsidRPr="00FE052A" w:rsidRDefault="000266D1" w:rsidP="000266D1">
            <w:pPr>
              <w:pStyle w:val="TableText0"/>
              <w:keepNext w:val="0"/>
            </w:pPr>
          </w:p>
        </w:tc>
        <w:tc>
          <w:tcPr>
            <w:tcW w:w="992" w:type="dxa"/>
            <w:vMerge/>
            <w:shd w:val="clear" w:color="auto" w:fill="auto"/>
          </w:tcPr>
          <w:p w14:paraId="26C0AD70" w14:textId="77777777" w:rsidR="000266D1" w:rsidRPr="00FE052A" w:rsidRDefault="000266D1" w:rsidP="000266D1">
            <w:pPr>
              <w:pStyle w:val="TableText0"/>
              <w:keepNext w:val="0"/>
            </w:pPr>
          </w:p>
        </w:tc>
        <w:tc>
          <w:tcPr>
            <w:tcW w:w="1701" w:type="dxa"/>
            <w:vMerge/>
            <w:shd w:val="clear" w:color="auto" w:fill="auto"/>
          </w:tcPr>
          <w:p w14:paraId="48CA6559" w14:textId="77777777" w:rsidR="000266D1" w:rsidRPr="00FE052A" w:rsidRDefault="000266D1" w:rsidP="000266D1">
            <w:pPr>
              <w:pStyle w:val="TableText0"/>
              <w:keepNext w:val="0"/>
            </w:pPr>
          </w:p>
        </w:tc>
        <w:tc>
          <w:tcPr>
            <w:tcW w:w="3402" w:type="dxa"/>
            <w:shd w:val="clear" w:color="auto" w:fill="CCFFCC"/>
          </w:tcPr>
          <w:p w14:paraId="179EE200" w14:textId="77777777" w:rsidR="000266D1" w:rsidRPr="00FE052A" w:rsidRDefault="000266D1" w:rsidP="000266D1">
            <w:pPr>
              <w:pStyle w:val="TableText0"/>
              <w:keepNext w:val="0"/>
            </w:pPr>
          </w:p>
        </w:tc>
      </w:tr>
      <w:tr w:rsidR="000266D1" w:rsidRPr="00CE2878" w14:paraId="38801452" w14:textId="77777777" w:rsidTr="004E4C48">
        <w:trPr>
          <w:trHeight w:val="167"/>
        </w:trPr>
        <w:tc>
          <w:tcPr>
            <w:tcW w:w="2376" w:type="dxa"/>
            <w:vMerge w:val="restart"/>
            <w:shd w:val="clear" w:color="auto" w:fill="auto"/>
          </w:tcPr>
          <w:p w14:paraId="46AB6138" w14:textId="36B21171" w:rsidR="000266D1" w:rsidRPr="00FE052A" w:rsidRDefault="000266D1" w:rsidP="006E645C">
            <w:pPr>
              <w:pStyle w:val="TableText0"/>
              <w:ind w:left="426" w:hanging="426"/>
            </w:pPr>
            <w:r>
              <w:t>5.2</w:t>
            </w:r>
            <w:r>
              <w:tab/>
            </w:r>
            <w:r w:rsidRPr="00FE052A">
              <w:t>Destruction and disposal actions have negative impacts on environment</w:t>
            </w:r>
          </w:p>
        </w:tc>
        <w:tc>
          <w:tcPr>
            <w:tcW w:w="993" w:type="dxa"/>
            <w:vMerge w:val="restart"/>
            <w:shd w:val="clear" w:color="auto" w:fill="auto"/>
          </w:tcPr>
          <w:p w14:paraId="37BD73B1" w14:textId="77777777" w:rsidR="000266D1" w:rsidRPr="00FE052A" w:rsidRDefault="000266D1" w:rsidP="006E645C">
            <w:pPr>
              <w:pStyle w:val="TableText0"/>
            </w:pPr>
          </w:p>
        </w:tc>
        <w:tc>
          <w:tcPr>
            <w:tcW w:w="992" w:type="dxa"/>
            <w:vMerge w:val="restart"/>
            <w:shd w:val="clear" w:color="auto" w:fill="auto"/>
          </w:tcPr>
          <w:p w14:paraId="7A0C18AD" w14:textId="77777777" w:rsidR="000266D1" w:rsidRPr="00FE052A" w:rsidRDefault="000266D1" w:rsidP="006E645C">
            <w:pPr>
              <w:pStyle w:val="TableText0"/>
            </w:pPr>
          </w:p>
        </w:tc>
        <w:tc>
          <w:tcPr>
            <w:tcW w:w="1701" w:type="dxa"/>
            <w:vMerge w:val="restart"/>
            <w:shd w:val="clear" w:color="auto" w:fill="auto"/>
          </w:tcPr>
          <w:p w14:paraId="3D1B9AB6" w14:textId="77777777" w:rsidR="000266D1" w:rsidRPr="00FE052A" w:rsidRDefault="000266D1" w:rsidP="006E645C">
            <w:pPr>
              <w:pStyle w:val="TableText0"/>
            </w:pPr>
          </w:p>
        </w:tc>
        <w:tc>
          <w:tcPr>
            <w:tcW w:w="3402" w:type="dxa"/>
            <w:shd w:val="clear" w:color="auto" w:fill="auto"/>
          </w:tcPr>
          <w:p w14:paraId="670B0750" w14:textId="6853E9D3" w:rsidR="000266D1" w:rsidRPr="00FE052A" w:rsidRDefault="000266D1" w:rsidP="006E645C">
            <w:pPr>
              <w:pStyle w:val="TableBullet"/>
            </w:pPr>
            <w:r w:rsidRPr="00FE052A">
              <w:t>Planning to consider and select options to minimise impact on environment</w:t>
            </w:r>
          </w:p>
          <w:p w14:paraId="2D24880B" w14:textId="763E3252" w:rsidR="000266D1" w:rsidRPr="00FE052A" w:rsidRDefault="000266D1" w:rsidP="006E645C">
            <w:pPr>
              <w:pStyle w:val="TableBullet"/>
            </w:pPr>
            <w:r w:rsidRPr="00DB1729">
              <w:t>SOPs</w:t>
            </w:r>
            <w:r w:rsidRPr="00FE052A">
              <w:t xml:space="preserve"> in place to ensure consistency and reproducibility</w:t>
            </w:r>
          </w:p>
          <w:p w14:paraId="6D83CAC3" w14:textId="4B1D587E" w:rsidR="000266D1" w:rsidRPr="00FE052A" w:rsidRDefault="000266D1" w:rsidP="006E645C">
            <w:pPr>
              <w:pStyle w:val="TableBullet"/>
            </w:pPr>
            <w:r w:rsidRPr="00FE052A">
              <w:t>Scheduled audit and review of compliance with SOPs</w:t>
            </w:r>
          </w:p>
          <w:p w14:paraId="74068097" w14:textId="3FD8B869" w:rsidR="000266D1" w:rsidRPr="00FE052A" w:rsidRDefault="000266D1" w:rsidP="006E645C">
            <w:pPr>
              <w:pStyle w:val="TableBullet"/>
            </w:pPr>
            <w:r w:rsidRPr="00FE052A">
              <w:t>Environmental monitoring part of normal business</w:t>
            </w:r>
          </w:p>
        </w:tc>
      </w:tr>
      <w:tr w:rsidR="000266D1" w:rsidRPr="00CE2878" w14:paraId="789C1B6E" w14:textId="77777777" w:rsidTr="004E4C48">
        <w:trPr>
          <w:trHeight w:val="194"/>
        </w:trPr>
        <w:tc>
          <w:tcPr>
            <w:tcW w:w="2376" w:type="dxa"/>
            <w:vMerge/>
            <w:shd w:val="clear" w:color="auto" w:fill="auto"/>
          </w:tcPr>
          <w:p w14:paraId="2498642F" w14:textId="77777777" w:rsidR="000266D1" w:rsidRPr="00FE052A" w:rsidRDefault="000266D1" w:rsidP="000266D1">
            <w:pPr>
              <w:pStyle w:val="TableText0"/>
              <w:keepNext w:val="0"/>
            </w:pPr>
          </w:p>
        </w:tc>
        <w:tc>
          <w:tcPr>
            <w:tcW w:w="993" w:type="dxa"/>
            <w:vMerge/>
            <w:shd w:val="clear" w:color="auto" w:fill="auto"/>
          </w:tcPr>
          <w:p w14:paraId="0548231D" w14:textId="77777777" w:rsidR="000266D1" w:rsidRPr="00FE052A" w:rsidRDefault="000266D1" w:rsidP="000266D1">
            <w:pPr>
              <w:pStyle w:val="TableText0"/>
              <w:keepNext w:val="0"/>
            </w:pPr>
          </w:p>
        </w:tc>
        <w:tc>
          <w:tcPr>
            <w:tcW w:w="992" w:type="dxa"/>
            <w:vMerge/>
            <w:shd w:val="clear" w:color="auto" w:fill="auto"/>
          </w:tcPr>
          <w:p w14:paraId="3B77C050" w14:textId="77777777" w:rsidR="000266D1" w:rsidRPr="00FE052A" w:rsidRDefault="000266D1" w:rsidP="000266D1">
            <w:pPr>
              <w:pStyle w:val="TableText0"/>
              <w:keepNext w:val="0"/>
            </w:pPr>
          </w:p>
        </w:tc>
        <w:tc>
          <w:tcPr>
            <w:tcW w:w="1701" w:type="dxa"/>
            <w:vMerge/>
            <w:shd w:val="clear" w:color="auto" w:fill="auto"/>
          </w:tcPr>
          <w:p w14:paraId="7C19A06A" w14:textId="77777777" w:rsidR="000266D1" w:rsidRPr="00FE052A" w:rsidRDefault="000266D1" w:rsidP="000266D1">
            <w:pPr>
              <w:pStyle w:val="TableText0"/>
              <w:keepNext w:val="0"/>
            </w:pPr>
          </w:p>
        </w:tc>
        <w:tc>
          <w:tcPr>
            <w:tcW w:w="3402" w:type="dxa"/>
            <w:shd w:val="clear" w:color="auto" w:fill="CCFFCC"/>
          </w:tcPr>
          <w:p w14:paraId="7E2BFD29" w14:textId="77777777" w:rsidR="000266D1" w:rsidRPr="00FE052A" w:rsidRDefault="000266D1" w:rsidP="000266D1">
            <w:pPr>
              <w:pStyle w:val="TableText0"/>
              <w:keepNext w:val="0"/>
            </w:pPr>
          </w:p>
        </w:tc>
      </w:tr>
      <w:tr w:rsidR="000266D1" w:rsidRPr="00CE2878" w14:paraId="60F66E74" w14:textId="77777777" w:rsidTr="004E4C48">
        <w:trPr>
          <w:trHeight w:val="908"/>
        </w:trPr>
        <w:tc>
          <w:tcPr>
            <w:tcW w:w="2376" w:type="dxa"/>
            <w:vMerge w:val="restart"/>
            <w:shd w:val="clear" w:color="auto" w:fill="auto"/>
          </w:tcPr>
          <w:p w14:paraId="17D54FD0" w14:textId="1851F526" w:rsidR="000266D1" w:rsidRPr="00FE052A" w:rsidRDefault="000266D1" w:rsidP="000266D1">
            <w:pPr>
              <w:pStyle w:val="TableText0"/>
              <w:keepNext w:val="0"/>
              <w:ind w:left="426" w:hanging="426"/>
            </w:pPr>
            <w:r>
              <w:t>5.3</w:t>
            </w:r>
            <w:r>
              <w:tab/>
            </w:r>
            <w:r w:rsidRPr="00FE052A">
              <w:t xml:space="preserve">Operations activities such as decontamination </w:t>
            </w:r>
            <w:r>
              <w:t xml:space="preserve">have </w:t>
            </w:r>
            <w:r w:rsidRPr="00FE052A">
              <w:t>negative impact</w:t>
            </w:r>
            <w:r>
              <w:t>s</w:t>
            </w:r>
            <w:r w:rsidRPr="00FE052A">
              <w:t xml:space="preserve"> on environment</w:t>
            </w:r>
          </w:p>
        </w:tc>
        <w:tc>
          <w:tcPr>
            <w:tcW w:w="993" w:type="dxa"/>
            <w:vMerge w:val="restart"/>
            <w:shd w:val="clear" w:color="auto" w:fill="auto"/>
          </w:tcPr>
          <w:p w14:paraId="6D6393FC" w14:textId="77777777" w:rsidR="000266D1" w:rsidRPr="00FE052A" w:rsidRDefault="000266D1" w:rsidP="000266D1">
            <w:pPr>
              <w:pStyle w:val="TableText0"/>
              <w:keepNext w:val="0"/>
            </w:pPr>
          </w:p>
        </w:tc>
        <w:tc>
          <w:tcPr>
            <w:tcW w:w="992" w:type="dxa"/>
            <w:vMerge w:val="restart"/>
            <w:shd w:val="clear" w:color="auto" w:fill="auto"/>
          </w:tcPr>
          <w:p w14:paraId="203117F2" w14:textId="77777777" w:rsidR="000266D1" w:rsidRPr="00FE052A" w:rsidRDefault="000266D1" w:rsidP="000266D1">
            <w:pPr>
              <w:pStyle w:val="TableText0"/>
              <w:keepNext w:val="0"/>
            </w:pPr>
          </w:p>
        </w:tc>
        <w:tc>
          <w:tcPr>
            <w:tcW w:w="1701" w:type="dxa"/>
            <w:vMerge w:val="restart"/>
            <w:shd w:val="clear" w:color="auto" w:fill="auto"/>
          </w:tcPr>
          <w:p w14:paraId="167059E3" w14:textId="77777777" w:rsidR="000266D1" w:rsidRPr="00FE052A" w:rsidRDefault="000266D1" w:rsidP="000266D1">
            <w:pPr>
              <w:pStyle w:val="TableText0"/>
              <w:keepNext w:val="0"/>
            </w:pPr>
          </w:p>
        </w:tc>
        <w:tc>
          <w:tcPr>
            <w:tcW w:w="3402" w:type="dxa"/>
            <w:shd w:val="clear" w:color="auto" w:fill="auto"/>
          </w:tcPr>
          <w:p w14:paraId="6F350B11" w14:textId="77777777" w:rsidR="000266D1" w:rsidRPr="00FE052A" w:rsidRDefault="000266D1" w:rsidP="000266D1">
            <w:pPr>
              <w:pStyle w:val="TableBullet"/>
            </w:pPr>
            <w:r w:rsidRPr="00FE052A">
              <w:t>As for 5.2</w:t>
            </w:r>
          </w:p>
        </w:tc>
      </w:tr>
      <w:tr w:rsidR="000266D1" w:rsidRPr="00CE2878" w14:paraId="5DA6FC01" w14:textId="77777777" w:rsidTr="004E4C48">
        <w:trPr>
          <w:trHeight w:val="77"/>
        </w:trPr>
        <w:tc>
          <w:tcPr>
            <w:tcW w:w="2376" w:type="dxa"/>
            <w:vMerge/>
            <w:shd w:val="clear" w:color="auto" w:fill="auto"/>
          </w:tcPr>
          <w:p w14:paraId="68F84BE7" w14:textId="77777777" w:rsidR="000266D1" w:rsidRPr="00EB22EF" w:rsidRDefault="000266D1" w:rsidP="000266D1">
            <w:pPr>
              <w:pStyle w:val="TableText0"/>
              <w:keepNext w:val="0"/>
              <w:rPr>
                <w:sz w:val="18"/>
                <w:szCs w:val="18"/>
              </w:rPr>
            </w:pPr>
          </w:p>
        </w:tc>
        <w:tc>
          <w:tcPr>
            <w:tcW w:w="993" w:type="dxa"/>
            <w:vMerge/>
            <w:shd w:val="clear" w:color="auto" w:fill="auto"/>
          </w:tcPr>
          <w:p w14:paraId="1884CF1D" w14:textId="77777777" w:rsidR="000266D1" w:rsidRPr="00CE2878" w:rsidRDefault="000266D1" w:rsidP="000266D1">
            <w:pPr>
              <w:pStyle w:val="TableText0"/>
              <w:keepNext w:val="0"/>
              <w:rPr>
                <w:sz w:val="20"/>
              </w:rPr>
            </w:pPr>
          </w:p>
        </w:tc>
        <w:tc>
          <w:tcPr>
            <w:tcW w:w="992" w:type="dxa"/>
            <w:vMerge/>
            <w:shd w:val="clear" w:color="auto" w:fill="auto"/>
          </w:tcPr>
          <w:p w14:paraId="3A0A381E" w14:textId="77777777" w:rsidR="000266D1" w:rsidRPr="00CE2878" w:rsidRDefault="000266D1" w:rsidP="000266D1">
            <w:pPr>
              <w:pStyle w:val="TableText0"/>
              <w:keepNext w:val="0"/>
              <w:rPr>
                <w:sz w:val="20"/>
              </w:rPr>
            </w:pPr>
          </w:p>
        </w:tc>
        <w:tc>
          <w:tcPr>
            <w:tcW w:w="1701" w:type="dxa"/>
            <w:vMerge/>
            <w:shd w:val="clear" w:color="auto" w:fill="auto"/>
          </w:tcPr>
          <w:p w14:paraId="3517B3A9" w14:textId="77777777" w:rsidR="000266D1" w:rsidRPr="00CE2878" w:rsidRDefault="000266D1" w:rsidP="000266D1">
            <w:pPr>
              <w:pStyle w:val="TableText0"/>
              <w:keepNext w:val="0"/>
              <w:rPr>
                <w:sz w:val="20"/>
              </w:rPr>
            </w:pPr>
          </w:p>
        </w:tc>
        <w:tc>
          <w:tcPr>
            <w:tcW w:w="3402" w:type="dxa"/>
            <w:shd w:val="clear" w:color="auto" w:fill="CCFFCC"/>
          </w:tcPr>
          <w:p w14:paraId="69542F49" w14:textId="77777777" w:rsidR="000266D1" w:rsidRPr="00EB22EF" w:rsidRDefault="000266D1" w:rsidP="000266D1">
            <w:pPr>
              <w:pStyle w:val="TableText0"/>
              <w:keepNext w:val="0"/>
              <w:rPr>
                <w:sz w:val="16"/>
                <w:szCs w:val="16"/>
              </w:rPr>
            </w:pPr>
          </w:p>
        </w:tc>
      </w:tr>
      <w:tr w:rsidR="000266D1" w:rsidRPr="00CE2878" w14:paraId="6D261068" w14:textId="77777777" w:rsidTr="004E4C48">
        <w:trPr>
          <w:trHeight w:val="437"/>
        </w:trPr>
        <w:tc>
          <w:tcPr>
            <w:tcW w:w="2376" w:type="dxa"/>
            <w:vMerge w:val="restart"/>
            <w:shd w:val="clear" w:color="auto" w:fill="auto"/>
          </w:tcPr>
          <w:p w14:paraId="6A1E8F32" w14:textId="12DBD45D" w:rsidR="000266D1" w:rsidRPr="00FE052A" w:rsidRDefault="000266D1" w:rsidP="000266D1">
            <w:pPr>
              <w:pStyle w:val="TableText0"/>
              <w:keepNext w:val="0"/>
              <w:ind w:left="426" w:hanging="426"/>
            </w:pPr>
            <w:r>
              <w:t>5.4</w:t>
            </w:r>
            <w:r>
              <w:tab/>
            </w:r>
            <w:r w:rsidRPr="00FE052A">
              <w:t>Operations activities cause population loss</w:t>
            </w:r>
            <w:r>
              <w:t>,</w:t>
            </w:r>
            <w:r w:rsidRPr="00FE052A">
              <w:t xml:space="preserve"> significant reduction in target host populations or loss of genetic diversity</w:t>
            </w:r>
          </w:p>
        </w:tc>
        <w:tc>
          <w:tcPr>
            <w:tcW w:w="993" w:type="dxa"/>
            <w:vMerge w:val="restart"/>
            <w:shd w:val="clear" w:color="auto" w:fill="auto"/>
          </w:tcPr>
          <w:p w14:paraId="31687364" w14:textId="77777777" w:rsidR="000266D1" w:rsidRPr="00FE052A" w:rsidRDefault="000266D1" w:rsidP="000266D1">
            <w:pPr>
              <w:pStyle w:val="TableText0"/>
              <w:keepNext w:val="0"/>
            </w:pPr>
          </w:p>
        </w:tc>
        <w:tc>
          <w:tcPr>
            <w:tcW w:w="992" w:type="dxa"/>
            <w:vMerge w:val="restart"/>
            <w:shd w:val="clear" w:color="auto" w:fill="auto"/>
          </w:tcPr>
          <w:p w14:paraId="0F1F9155" w14:textId="77777777" w:rsidR="000266D1" w:rsidRPr="00FE052A" w:rsidRDefault="000266D1" w:rsidP="000266D1">
            <w:pPr>
              <w:pStyle w:val="TableText0"/>
              <w:keepNext w:val="0"/>
            </w:pPr>
          </w:p>
        </w:tc>
        <w:tc>
          <w:tcPr>
            <w:tcW w:w="1701" w:type="dxa"/>
            <w:vMerge w:val="restart"/>
            <w:shd w:val="clear" w:color="auto" w:fill="auto"/>
          </w:tcPr>
          <w:p w14:paraId="491720BA" w14:textId="77777777" w:rsidR="000266D1" w:rsidRPr="00FE052A" w:rsidRDefault="000266D1" w:rsidP="000266D1">
            <w:pPr>
              <w:pStyle w:val="TableText0"/>
              <w:keepNext w:val="0"/>
            </w:pPr>
          </w:p>
        </w:tc>
        <w:tc>
          <w:tcPr>
            <w:tcW w:w="3402" w:type="dxa"/>
            <w:shd w:val="clear" w:color="auto" w:fill="auto"/>
          </w:tcPr>
          <w:p w14:paraId="174F57EA" w14:textId="2EF97CAB" w:rsidR="000266D1" w:rsidRPr="00FE052A" w:rsidRDefault="000266D1" w:rsidP="000266D1">
            <w:pPr>
              <w:pStyle w:val="TableBullet"/>
            </w:pPr>
            <w:r w:rsidRPr="00FE052A">
              <w:t>Planning to consider and select options to minimise impact on target and nontarget host populations</w:t>
            </w:r>
          </w:p>
          <w:p w14:paraId="59EC6567" w14:textId="34306EBC" w:rsidR="000266D1" w:rsidRPr="00FE052A" w:rsidRDefault="000266D1" w:rsidP="000266D1">
            <w:pPr>
              <w:pStyle w:val="TableBullet"/>
            </w:pPr>
            <w:r w:rsidRPr="00FE052A">
              <w:t>SOPs in place to ensure consistency and reproducibility</w:t>
            </w:r>
          </w:p>
          <w:p w14:paraId="5CFAFF80" w14:textId="4114E821" w:rsidR="000266D1" w:rsidRPr="00FE052A" w:rsidRDefault="000266D1" w:rsidP="000266D1">
            <w:pPr>
              <w:pStyle w:val="TableBullet"/>
            </w:pPr>
            <w:r w:rsidRPr="00FE052A">
              <w:t>Scheduled audit and review of compliance with SOPs</w:t>
            </w:r>
          </w:p>
          <w:p w14:paraId="2428BE99" w14:textId="3720EA8C" w:rsidR="000266D1" w:rsidRPr="00FE052A" w:rsidRDefault="000266D1" w:rsidP="000266D1">
            <w:pPr>
              <w:pStyle w:val="TableBullet"/>
            </w:pPr>
            <w:r w:rsidRPr="00FE052A">
              <w:t>Monitoring of target and no</w:t>
            </w:r>
            <w:r>
              <w:t>n</w:t>
            </w:r>
            <w:r w:rsidRPr="00FE052A">
              <w:t>target populations is part of normal business</w:t>
            </w:r>
          </w:p>
          <w:p w14:paraId="4A24B90A" w14:textId="28079CC1" w:rsidR="000266D1" w:rsidRPr="00FE052A" w:rsidRDefault="000266D1" w:rsidP="000266D1">
            <w:pPr>
              <w:pStyle w:val="TableBullet"/>
            </w:pPr>
            <w:r w:rsidRPr="00FE052A">
              <w:t>Pilot</w:t>
            </w:r>
            <w:r>
              <w:t>ing of</w:t>
            </w:r>
            <w:r w:rsidRPr="00FE052A">
              <w:t xml:space="preserve"> any procedures that are assessed as high risk to target and nontarget populations</w:t>
            </w:r>
          </w:p>
          <w:p w14:paraId="7DDB9D14" w14:textId="1746AE6D" w:rsidR="000266D1" w:rsidRPr="00FE052A" w:rsidRDefault="000266D1" w:rsidP="000266D1">
            <w:pPr>
              <w:pStyle w:val="TableBullet"/>
            </w:pPr>
            <w:r w:rsidRPr="00FE052A">
              <w:t>Isolate some of the potential at</w:t>
            </w:r>
            <w:r>
              <w:t>-</w:t>
            </w:r>
            <w:r w:rsidRPr="00FE052A">
              <w:t>risk populations and/or preserve genetic material</w:t>
            </w:r>
          </w:p>
        </w:tc>
      </w:tr>
      <w:tr w:rsidR="000266D1" w:rsidRPr="00CE2878" w14:paraId="0762069E" w14:textId="77777777" w:rsidTr="004E4C48">
        <w:trPr>
          <w:trHeight w:val="175"/>
        </w:trPr>
        <w:tc>
          <w:tcPr>
            <w:tcW w:w="2376" w:type="dxa"/>
            <w:vMerge/>
            <w:shd w:val="clear" w:color="auto" w:fill="auto"/>
          </w:tcPr>
          <w:p w14:paraId="685067A1" w14:textId="77777777" w:rsidR="000266D1" w:rsidRPr="00FE052A" w:rsidRDefault="000266D1" w:rsidP="000266D1">
            <w:pPr>
              <w:pStyle w:val="TableText0"/>
              <w:keepNext w:val="0"/>
            </w:pPr>
          </w:p>
        </w:tc>
        <w:tc>
          <w:tcPr>
            <w:tcW w:w="993" w:type="dxa"/>
            <w:vMerge/>
            <w:shd w:val="clear" w:color="auto" w:fill="auto"/>
          </w:tcPr>
          <w:p w14:paraId="6FA48372" w14:textId="77777777" w:rsidR="000266D1" w:rsidRPr="00FE052A" w:rsidRDefault="000266D1" w:rsidP="000266D1">
            <w:pPr>
              <w:pStyle w:val="TableText0"/>
              <w:keepNext w:val="0"/>
            </w:pPr>
          </w:p>
        </w:tc>
        <w:tc>
          <w:tcPr>
            <w:tcW w:w="992" w:type="dxa"/>
            <w:vMerge/>
            <w:shd w:val="clear" w:color="auto" w:fill="auto"/>
          </w:tcPr>
          <w:p w14:paraId="1553A534" w14:textId="77777777" w:rsidR="000266D1" w:rsidRPr="00FE052A" w:rsidRDefault="000266D1" w:rsidP="000266D1">
            <w:pPr>
              <w:pStyle w:val="TableText0"/>
              <w:keepNext w:val="0"/>
            </w:pPr>
          </w:p>
        </w:tc>
        <w:tc>
          <w:tcPr>
            <w:tcW w:w="1701" w:type="dxa"/>
            <w:vMerge/>
            <w:shd w:val="clear" w:color="auto" w:fill="auto"/>
          </w:tcPr>
          <w:p w14:paraId="44F567E0" w14:textId="77777777" w:rsidR="000266D1" w:rsidRPr="00FE052A" w:rsidRDefault="000266D1" w:rsidP="000266D1">
            <w:pPr>
              <w:pStyle w:val="TableText0"/>
              <w:keepNext w:val="0"/>
            </w:pPr>
          </w:p>
        </w:tc>
        <w:tc>
          <w:tcPr>
            <w:tcW w:w="3402" w:type="dxa"/>
            <w:shd w:val="clear" w:color="auto" w:fill="CCFFCC"/>
          </w:tcPr>
          <w:p w14:paraId="159EC7C1" w14:textId="77777777" w:rsidR="000266D1" w:rsidRPr="00FE052A" w:rsidRDefault="000266D1" w:rsidP="000266D1">
            <w:pPr>
              <w:pStyle w:val="TableText0"/>
              <w:keepNext w:val="0"/>
            </w:pPr>
          </w:p>
        </w:tc>
      </w:tr>
      <w:tr w:rsidR="000266D1" w:rsidRPr="00D64C05" w14:paraId="006EEB8B" w14:textId="77777777" w:rsidTr="004E4C48">
        <w:tc>
          <w:tcPr>
            <w:tcW w:w="9464" w:type="dxa"/>
            <w:gridSpan w:val="5"/>
            <w:shd w:val="clear" w:color="auto" w:fill="F2F2F2" w:themeFill="background1" w:themeFillShade="F2"/>
          </w:tcPr>
          <w:p w14:paraId="56A48429" w14:textId="77777777" w:rsidR="000266D1" w:rsidRPr="00D64C05" w:rsidRDefault="000266D1" w:rsidP="000266D1">
            <w:pPr>
              <w:pStyle w:val="TableText0"/>
              <w:rPr>
                <w:b/>
              </w:rPr>
            </w:pPr>
            <w:r w:rsidRPr="00D64C05">
              <w:rPr>
                <w:b/>
              </w:rPr>
              <w:t>6 Political risks</w:t>
            </w:r>
          </w:p>
        </w:tc>
      </w:tr>
      <w:tr w:rsidR="000266D1" w:rsidRPr="00CE2878" w14:paraId="09CF5044" w14:textId="77777777" w:rsidTr="004E4C48">
        <w:trPr>
          <w:trHeight w:val="345"/>
        </w:trPr>
        <w:tc>
          <w:tcPr>
            <w:tcW w:w="2376" w:type="dxa"/>
            <w:vMerge w:val="restart"/>
            <w:shd w:val="clear" w:color="auto" w:fill="auto"/>
          </w:tcPr>
          <w:p w14:paraId="3A4EF462" w14:textId="77777777" w:rsidR="000266D1" w:rsidRPr="00FE052A" w:rsidRDefault="000266D1" w:rsidP="000266D1">
            <w:pPr>
              <w:pStyle w:val="TableText0"/>
              <w:keepNext w:val="0"/>
              <w:ind w:left="426" w:hanging="426"/>
            </w:pPr>
            <w:r>
              <w:t>6.1</w:t>
            </w:r>
            <w:r>
              <w:tab/>
            </w:r>
            <w:r w:rsidRPr="00FE052A">
              <w:t xml:space="preserve">State or territory government </w:t>
            </w:r>
            <w:bookmarkStart w:id="124" w:name="OLE_LINK1"/>
            <w:bookmarkStart w:id="125" w:name="OLE_LINK2"/>
            <w:r w:rsidRPr="00FE052A">
              <w:t>support is not sufficient to support the ongoing response</w:t>
            </w:r>
            <w:bookmarkEnd w:id="124"/>
            <w:bookmarkEnd w:id="125"/>
          </w:p>
        </w:tc>
        <w:tc>
          <w:tcPr>
            <w:tcW w:w="993" w:type="dxa"/>
            <w:vMerge w:val="restart"/>
            <w:shd w:val="clear" w:color="auto" w:fill="auto"/>
          </w:tcPr>
          <w:p w14:paraId="020238FC" w14:textId="77777777" w:rsidR="000266D1" w:rsidRPr="00FE052A" w:rsidRDefault="000266D1" w:rsidP="000266D1">
            <w:pPr>
              <w:pStyle w:val="TableText0"/>
              <w:keepNext w:val="0"/>
            </w:pPr>
          </w:p>
        </w:tc>
        <w:tc>
          <w:tcPr>
            <w:tcW w:w="992" w:type="dxa"/>
            <w:vMerge w:val="restart"/>
            <w:shd w:val="clear" w:color="auto" w:fill="auto"/>
          </w:tcPr>
          <w:p w14:paraId="2A50D146" w14:textId="77777777" w:rsidR="000266D1" w:rsidRPr="00FE052A" w:rsidRDefault="000266D1" w:rsidP="000266D1">
            <w:pPr>
              <w:pStyle w:val="TableText0"/>
              <w:keepNext w:val="0"/>
            </w:pPr>
          </w:p>
        </w:tc>
        <w:tc>
          <w:tcPr>
            <w:tcW w:w="1701" w:type="dxa"/>
            <w:vMerge w:val="restart"/>
            <w:shd w:val="clear" w:color="auto" w:fill="auto"/>
          </w:tcPr>
          <w:p w14:paraId="797926F9" w14:textId="77777777" w:rsidR="000266D1" w:rsidRPr="00FE052A" w:rsidRDefault="000266D1" w:rsidP="000266D1">
            <w:pPr>
              <w:pStyle w:val="TableText0"/>
              <w:keepNext w:val="0"/>
            </w:pPr>
          </w:p>
        </w:tc>
        <w:tc>
          <w:tcPr>
            <w:tcW w:w="3402" w:type="dxa"/>
            <w:shd w:val="clear" w:color="auto" w:fill="auto"/>
          </w:tcPr>
          <w:p w14:paraId="37D9064F" w14:textId="0D9E4ED0" w:rsidR="000266D1" w:rsidRPr="00FE052A" w:rsidRDefault="000266D1" w:rsidP="000266D1">
            <w:pPr>
              <w:pStyle w:val="TableBullet"/>
            </w:pPr>
            <w:r w:rsidRPr="00FE052A">
              <w:t>Normal everyday advice to government to give confidence in response</w:t>
            </w:r>
          </w:p>
          <w:p w14:paraId="1BD3D51A" w14:textId="0D42326B" w:rsidR="000266D1" w:rsidRPr="00FE052A" w:rsidRDefault="000266D1" w:rsidP="000266D1">
            <w:pPr>
              <w:pStyle w:val="TableBullet"/>
            </w:pPr>
            <w:r w:rsidRPr="00FE052A">
              <w:t>Aim, objectives and milestones stated</w:t>
            </w:r>
          </w:p>
          <w:p w14:paraId="28A2F61A" w14:textId="3F94F6D5" w:rsidR="000266D1" w:rsidRPr="00FE052A" w:rsidRDefault="000266D1" w:rsidP="000266D1">
            <w:pPr>
              <w:pStyle w:val="TableBullet"/>
            </w:pPr>
            <w:r w:rsidRPr="00FE052A">
              <w:t>Monitoring and review to be normal for response management</w:t>
            </w:r>
          </w:p>
          <w:p w14:paraId="0EC80B01" w14:textId="50CE198D" w:rsidR="000266D1" w:rsidRPr="00FE052A" w:rsidRDefault="000266D1" w:rsidP="000266D1">
            <w:pPr>
              <w:pStyle w:val="TableBullet"/>
            </w:pPr>
            <w:r w:rsidRPr="00FE052A">
              <w:t>National decision and reporting processes in place</w:t>
            </w:r>
          </w:p>
          <w:p w14:paraId="2B5AEAC0" w14:textId="0DB71DB4" w:rsidR="000266D1" w:rsidRPr="00FE052A" w:rsidRDefault="000266D1" w:rsidP="000266D1">
            <w:pPr>
              <w:pStyle w:val="TableBullet"/>
            </w:pPr>
            <w:r w:rsidRPr="00FE052A">
              <w:t>Routine sitreps provided to government</w:t>
            </w:r>
          </w:p>
          <w:p w14:paraId="59EC82DE" w14:textId="74BE10D0" w:rsidR="000266D1" w:rsidRPr="00FE052A" w:rsidRDefault="000266D1" w:rsidP="000266D1">
            <w:pPr>
              <w:pStyle w:val="TableBullet"/>
            </w:pPr>
            <w:r w:rsidRPr="00FE052A">
              <w:t>Government/ministerial liaison in place</w:t>
            </w:r>
          </w:p>
          <w:p w14:paraId="6165648D" w14:textId="3A97F911" w:rsidR="000266D1" w:rsidRPr="00FE052A" w:rsidRDefault="000266D1" w:rsidP="000266D1">
            <w:pPr>
              <w:pStyle w:val="TableBullet"/>
            </w:pPr>
            <w:r w:rsidRPr="00FE052A">
              <w:t>WOG arrangements are followed</w:t>
            </w:r>
          </w:p>
        </w:tc>
      </w:tr>
      <w:tr w:rsidR="000266D1" w:rsidRPr="00CE2878" w14:paraId="1937137C" w14:textId="77777777" w:rsidTr="004E4C48">
        <w:trPr>
          <w:trHeight w:val="230"/>
        </w:trPr>
        <w:tc>
          <w:tcPr>
            <w:tcW w:w="2376" w:type="dxa"/>
            <w:vMerge/>
            <w:shd w:val="clear" w:color="auto" w:fill="auto"/>
          </w:tcPr>
          <w:p w14:paraId="7146E86A" w14:textId="77777777" w:rsidR="000266D1" w:rsidRPr="00EB22EF" w:rsidRDefault="000266D1" w:rsidP="000266D1">
            <w:pPr>
              <w:pStyle w:val="TableText0"/>
              <w:keepNext w:val="0"/>
              <w:rPr>
                <w:sz w:val="18"/>
                <w:szCs w:val="18"/>
              </w:rPr>
            </w:pPr>
          </w:p>
        </w:tc>
        <w:tc>
          <w:tcPr>
            <w:tcW w:w="993" w:type="dxa"/>
            <w:vMerge/>
            <w:shd w:val="clear" w:color="auto" w:fill="auto"/>
          </w:tcPr>
          <w:p w14:paraId="484F0EB0" w14:textId="77777777" w:rsidR="000266D1" w:rsidRPr="00CE2878" w:rsidRDefault="000266D1" w:rsidP="000266D1">
            <w:pPr>
              <w:pStyle w:val="TableText0"/>
              <w:keepNext w:val="0"/>
              <w:rPr>
                <w:sz w:val="20"/>
              </w:rPr>
            </w:pPr>
          </w:p>
        </w:tc>
        <w:tc>
          <w:tcPr>
            <w:tcW w:w="992" w:type="dxa"/>
            <w:vMerge/>
            <w:shd w:val="clear" w:color="auto" w:fill="auto"/>
          </w:tcPr>
          <w:p w14:paraId="1BF34A3C" w14:textId="77777777" w:rsidR="000266D1" w:rsidRPr="00CE2878" w:rsidRDefault="000266D1" w:rsidP="000266D1">
            <w:pPr>
              <w:pStyle w:val="TableText0"/>
              <w:keepNext w:val="0"/>
              <w:rPr>
                <w:sz w:val="20"/>
              </w:rPr>
            </w:pPr>
          </w:p>
        </w:tc>
        <w:tc>
          <w:tcPr>
            <w:tcW w:w="1701" w:type="dxa"/>
            <w:vMerge/>
            <w:shd w:val="clear" w:color="auto" w:fill="auto"/>
          </w:tcPr>
          <w:p w14:paraId="5F73A089" w14:textId="77777777" w:rsidR="000266D1" w:rsidRPr="00CE2878" w:rsidRDefault="000266D1" w:rsidP="000266D1">
            <w:pPr>
              <w:pStyle w:val="TableText0"/>
              <w:keepNext w:val="0"/>
              <w:rPr>
                <w:sz w:val="20"/>
              </w:rPr>
            </w:pPr>
          </w:p>
        </w:tc>
        <w:tc>
          <w:tcPr>
            <w:tcW w:w="3402" w:type="dxa"/>
            <w:shd w:val="clear" w:color="auto" w:fill="CCFFCC"/>
          </w:tcPr>
          <w:p w14:paraId="71E27F35" w14:textId="77777777" w:rsidR="000266D1" w:rsidRPr="00EB22EF" w:rsidRDefault="000266D1" w:rsidP="000266D1">
            <w:pPr>
              <w:pStyle w:val="TableText0"/>
              <w:keepNext w:val="0"/>
              <w:rPr>
                <w:sz w:val="16"/>
                <w:szCs w:val="16"/>
              </w:rPr>
            </w:pPr>
          </w:p>
        </w:tc>
      </w:tr>
      <w:tr w:rsidR="000266D1" w:rsidRPr="00CE2878" w14:paraId="12792E02" w14:textId="77777777" w:rsidTr="004E4C48">
        <w:trPr>
          <w:trHeight w:val="512"/>
        </w:trPr>
        <w:tc>
          <w:tcPr>
            <w:tcW w:w="2376" w:type="dxa"/>
            <w:vMerge w:val="restart"/>
            <w:shd w:val="clear" w:color="auto" w:fill="auto"/>
          </w:tcPr>
          <w:p w14:paraId="70F33FDB" w14:textId="77777777" w:rsidR="000266D1" w:rsidRPr="00EB22EF" w:rsidRDefault="000266D1" w:rsidP="000266D1">
            <w:pPr>
              <w:pStyle w:val="TableText0"/>
              <w:keepNext w:val="0"/>
              <w:ind w:left="426" w:hanging="426"/>
            </w:pPr>
            <w:r>
              <w:t>6.2</w:t>
            </w:r>
            <w:r>
              <w:tab/>
            </w:r>
            <w:r w:rsidRPr="00EB22EF">
              <w:t>Local government support is not sufficient to support the ongoing response</w:t>
            </w:r>
          </w:p>
        </w:tc>
        <w:tc>
          <w:tcPr>
            <w:tcW w:w="993" w:type="dxa"/>
            <w:vMerge w:val="restart"/>
            <w:shd w:val="clear" w:color="auto" w:fill="auto"/>
          </w:tcPr>
          <w:p w14:paraId="3EE59D29" w14:textId="77777777" w:rsidR="000266D1" w:rsidRPr="00CE2878" w:rsidRDefault="000266D1" w:rsidP="000266D1">
            <w:pPr>
              <w:pStyle w:val="TableText0"/>
              <w:keepNext w:val="0"/>
              <w:rPr>
                <w:sz w:val="20"/>
              </w:rPr>
            </w:pPr>
          </w:p>
        </w:tc>
        <w:tc>
          <w:tcPr>
            <w:tcW w:w="992" w:type="dxa"/>
            <w:vMerge w:val="restart"/>
            <w:shd w:val="clear" w:color="auto" w:fill="auto"/>
          </w:tcPr>
          <w:p w14:paraId="09CAF741" w14:textId="77777777" w:rsidR="000266D1" w:rsidRPr="00CE2878" w:rsidRDefault="000266D1" w:rsidP="000266D1">
            <w:pPr>
              <w:pStyle w:val="TableText0"/>
              <w:keepNext w:val="0"/>
              <w:rPr>
                <w:sz w:val="20"/>
              </w:rPr>
            </w:pPr>
          </w:p>
        </w:tc>
        <w:tc>
          <w:tcPr>
            <w:tcW w:w="1701" w:type="dxa"/>
            <w:vMerge w:val="restart"/>
            <w:shd w:val="clear" w:color="auto" w:fill="auto"/>
          </w:tcPr>
          <w:p w14:paraId="4A7C256C" w14:textId="77777777" w:rsidR="000266D1" w:rsidRPr="00CE2878" w:rsidRDefault="000266D1" w:rsidP="000266D1">
            <w:pPr>
              <w:pStyle w:val="TableText0"/>
              <w:keepNext w:val="0"/>
              <w:rPr>
                <w:sz w:val="20"/>
              </w:rPr>
            </w:pPr>
          </w:p>
        </w:tc>
        <w:tc>
          <w:tcPr>
            <w:tcW w:w="3402" w:type="dxa"/>
            <w:shd w:val="clear" w:color="auto" w:fill="auto"/>
          </w:tcPr>
          <w:p w14:paraId="17B46B8A" w14:textId="77777777" w:rsidR="000266D1" w:rsidRPr="00FE052A" w:rsidRDefault="000266D1" w:rsidP="000266D1">
            <w:pPr>
              <w:pStyle w:val="TableBullet"/>
            </w:pPr>
            <w:r w:rsidRPr="00FE052A">
              <w:t>As for 6.1</w:t>
            </w:r>
          </w:p>
          <w:p w14:paraId="7F8E55A9" w14:textId="77777777" w:rsidR="000266D1" w:rsidRPr="00FE052A" w:rsidRDefault="000266D1" w:rsidP="000266D1">
            <w:pPr>
              <w:pStyle w:val="TableText0"/>
              <w:keepNext w:val="0"/>
            </w:pPr>
          </w:p>
        </w:tc>
      </w:tr>
      <w:tr w:rsidR="000266D1" w:rsidRPr="00CE2878" w14:paraId="2D26B094" w14:textId="77777777" w:rsidTr="004E4C48">
        <w:trPr>
          <w:trHeight w:val="345"/>
        </w:trPr>
        <w:tc>
          <w:tcPr>
            <w:tcW w:w="2376" w:type="dxa"/>
            <w:vMerge/>
            <w:shd w:val="clear" w:color="auto" w:fill="auto"/>
          </w:tcPr>
          <w:p w14:paraId="4DE6AEB5" w14:textId="77777777" w:rsidR="000266D1" w:rsidRPr="00EB22EF" w:rsidRDefault="000266D1" w:rsidP="000266D1">
            <w:pPr>
              <w:pStyle w:val="TableText0"/>
              <w:keepNext w:val="0"/>
            </w:pPr>
          </w:p>
        </w:tc>
        <w:tc>
          <w:tcPr>
            <w:tcW w:w="993" w:type="dxa"/>
            <w:vMerge/>
            <w:shd w:val="clear" w:color="auto" w:fill="auto"/>
          </w:tcPr>
          <w:p w14:paraId="25C9477F" w14:textId="77777777" w:rsidR="000266D1" w:rsidRPr="00CE2878" w:rsidRDefault="000266D1" w:rsidP="000266D1">
            <w:pPr>
              <w:pStyle w:val="TableText0"/>
              <w:keepNext w:val="0"/>
              <w:rPr>
                <w:sz w:val="20"/>
              </w:rPr>
            </w:pPr>
          </w:p>
        </w:tc>
        <w:tc>
          <w:tcPr>
            <w:tcW w:w="992" w:type="dxa"/>
            <w:vMerge/>
            <w:shd w:val="clear" w:color="auto" w:fill="auto"/>
          </w:tcPr>
          <w:p w14:paraId="35C8A2A3" w14:textId="77777777" w:rsidR="000266D1" w:rsidRPr="00CE2878" w:rsidRDefault="000266D1" w:rsidP="000266D1">
            <w:pPr>
              <w:pStyle w:val="TableText0"/>
              <w:keepNext w:val="0"/>
              <w:rPr>
                <w:sz w:val="20"/>
              </w:rPr>
            </w:pPr>
          </w:p>
        </w:tc>
        <w:tc>
          <w:tcPr>
            <w:tcW w:w="1701" w:type="dxa"/>
            <w:vMerge/>
            <w:shd w:val="clear" w:color="auto" w:fill="auto"/>
          </w:tcPr>
          <w:p w14:paraId="6D141656" w14:textId="77777777" w:rsidR="000266D1" w:rsidRPr="00CE2878" w:rsidRDefault="000266D1" w:rsidP="000266D1">
            <w:pPr>
              <w:pStyle w:val="TableText0"/>
              <w:keepNext w:val="0"/>
              <w:rPr>
                <w:sz w:val="20"/>
              </w:rPr>
            </w:pPr>
          </w:p>
        </w:tc>
        <w:tc>
          <w:tcPr>
            <w:tcW w:w="3402" w:type="dxa"/>
            <w:shd w:val="clear" w:color="auto" w:fill="CCFFCC"/>
          </w:tcPr>
          <w:p w14:paraId="36A9DA41" w14:textId="77777777" w:rsidR="000266D1" w:rsidRPr="00FE052A" w:rsidRDefault="000266D1" w:rsidP="000266D1">
            <w:pPr>
              <w:pStyle w:val="TableText0"/>
              <w:keepNext w:val="0"/>
            </w:pPr>
          </w:p>
        </w:tc>
      </w:tr>
      <w:tr w:rsidR="000266D1" w:rsidRPr="00CE2878" w14:paraId="0A435180" w14:textId="77777777" w:rsidTr="004E4C48">
        <w:trPr>
          <w:trHeight w:val="230"/>
        </w:trPr>
        <w:tc>
          <w:tcPr>
            <w:tcW w:w="2376" w:type="dxa"/>
            <w:vMerge w:val="restart"/>
            <w:shd w:val="clear" w:color="auto" w:fill="auto"/>
          </w:tcPr>
          <w:p w14:paraId="4050E3C0" w14:textId="77777777" w:rsidR="000266D1" w:rsidRPr="00EB22EF" w:rsidRDefault="000266D1" w:rsidP="000266D1">
            <w:pPr>
              <w:pStyle w:val="TableText0"/>
              <w:keepNext w:val="0"/>
              <w:ind w:left="426" w:hanging="426"/>
            </w:pPr>
            <w:r>
              <w:t>6.3</w:t>
            </w:r>
            <w:r>
              <w:tab/>
            </w:r>
            <w:r w:rsidRPr="00EB22EF">
              <w:t>Partner chief executive support is not sufficient to keep the response going</w:t>
            </w:r>
          </w:p>
        </w:tc>
        <w:tc>
          <w:tcPr>
            <w:tcW w:w="993" w:type="dxa"/>
            <w:vMerge w:val="restart"/>
            <w:shd w:val="clear" w:color="auto" w:fill="auto"/>
          </w:tcPr>
          <w:p w14:paraId="7A3E0940" w14:textId="77777777" w:rsidR="000266D1" w:rsidRPr="00CE2878" w:rsidRDefault="000266D1" w:rsidP="000266D1">
            <w:pPr>
              <w:pStyle w:val="TableText0"/>
              <w:keepNext w:val="0"/>
              <w:rPr>
                <w:sz w:val="20"/>
              </w:rPr>
            </w:pPr>
          </w:p>
        </w:tc>
        <w:tc>
          <w:tcPr>
            <w:tcW w:w="992" w:type="dxa"/>
            <w:vMerge w:val="restart"/>
            <w:shd w:val="clear" w:color="auto" w:fill="auto"/>
          </w:tcPr>
          <w:p w14:paraId="38F5C78C" w14:textId="77777777" w:rsidR="000266D1" w:rsidRPr="00CE2878" w:rsidRDefault="000266D1" w:rsidP="000266D1">
            <w:pPr>
              <w:pStyle w:val="TableText0"/>
              <w:keepNext w:val="0"/>
              <w:rPr>
                <w:szCs w:val="24"/>
              </w:rPr>
            </w:pPr>
          </w:p>
        </w:tc>
        <w:tc>
          <w:tcPr>
            <w:tcW w:w="1701" w:type="dxa"/>
            <w:vMerge w:val="restart"/>
            <w:shd w:val="clear" w:color="auto" w:fill="auto"/>
          </w:tcPr>
          <w:p w14:paraId="47F523E5" w14:textId="77777777" w:rsidR="000266D1" w:rsidRPr="00CE2878" w:rsidRDefault="000266D1" w:rsidP="000266D1">
            <w:pPr>
              <w:pStyle w:val="TableText0"/>
              <w:keepNext w:val="0"/>
              <w:rPr>
                <w:sz w:val="20"/>
              </w:rPr>
            </w:pPr>
          </w:p>
        </w:tc>
        <w:tc>
          <w:tcPr>
            <w:tcW w:w="3402" w:type="dxa"/>
            <w:shd w:val="clear" w:color="auto" w:fill="auto"/>
          </w:tcPr>
          <w:p w14:paraId="226EE076" w14:textId="77777777" w:rsidR="000266D1" w:rsidRPr="00FE052A" w:rsidRDefault="000266D1" w:rsidP="000266D1">
            <w:pPr>
              <w:pStyle w:val="TableBullet"/>
            </w:pPr>
            <w:r w:rsidRPr="00FE052A">
              <w:t>As for 6.1</w:t>
            </w:r>
          </w:p>
          <w:p w14:paraId="12A5C14C" w14:textId="61ED692B" w:rsidR="000266D1" w:rsidRPr="00FE052A" w:rsidRDefault="000266D1" w:rsidP="000266D1">
            <w:pPr>
              <w:pStyle w:val="TableBullet"/>
            </w:pPr>
            <w:r w:rsidRPr="00FE052A">
              <w:t>Partners encouraged to actively participate in response at all levels</w:t>
            </w:r>
          </w:p>
          <w:p w14:paraId="7BF53D73" w14:textId="5E21BC36" w:rsidR="000266D1" w:rsidRPr="00FE052A" w:rsidRDefault="000266D1" w:rsidP="000266D1">
            <w:pPr>
              <w:pStyle w:val="TableBullet"/>
            </w:pPr>
            <w:r w:rsidRPr="00FE052A">
              <w:t xml:space="preserve">Partner agencies given every opportunity to be part of </w:t>
            </w:r>
            <w:r>
              <w:t>the</w:t>
            </w:r>
            <w:r w:rsidRPr="00FE052A">
              <w:t xml:space="preserve"> response</w:t>
            </w:r>
          </w:p>
        </w:tc>
      </w:tr>
      <w:tr w:rsidR="000266D1" w:rsidRPr="00CE2878" w14:paraId="302DEF82" w14:textId="77777777" w:rsidTr="004E4C48">
        <w:trPr>
          <w:trHeight w:val="50"/>
        </w:trPr>
        <w:tc>
          <w:tcPr>
            <w:tcW w:w="2376" w:type="dxa"/>
            <w:vMerge/>
            <w:shd w:val="clear" w:color="auto" w:fill="auto"/>
          </w:tcPr>
          <w:p w14:paraId="539A648E" w14:textId="77777777" w:rsidR="000266D1" w:rsidRPr="00EB22EF" w:rsidRDefault="000266D1" w:rsidP="000266D1">
            <w:pPr>
              <w:pStyle w:val="TableText0"/>
              <w:keepNext w:val="0"/>
            </w:pPr>
          </w:p>
        </w:tc>
        <w:tc>
          <w:tcPr>
            <w:tcW w:w="993" w:type="dxa"/>
            <w:vMerge/>
            <w:shd w:val="clear" w:color="auto" w:fill="auto"/>
          </w:tcPr>
          <w:p w14:paraId="6510793F" w14:textId="77777777" w:rsidR="000266D1" w:rsidRPr="00CE2878" w:rsidRDefault="000266D1" w:rsidP="000266D1">
            <w:pPr>
              <w:pStyle w:val="TableText0"/>
              <w:keepNext w:val="0"/>
              <w:rPr>
                <w:sz w:val="20"/>
              </w:rPr>
            </w:pPr>
          </w:p>
        </w:tc>
        <w:tc>
          <w:tcPr>
            <w:tcW w:w="992" w:type="dxa"/>
            <w:vMerge/>
            <w:shd w:val="clear" w:color="auto" w:fill="auto"/>
          </w:tcPr>
          <w:p w14:paraId="440841AD" w14:textId="77777777" w:rsidR="000266D1" w:rsidRPr="00CE2878" w:rsidRDefault="000266D1" w:rsidP="000266D1">
            <w:pPr>
              <w:pStyle w:val="TableText0"/>
              <w:keepNext w:val="0"/>
              <w:rPr>
                <w:sz w:val="20"/>
              </w:rPr>
            </w:pPr>
          </w:p>
        </w:tc>
        <w:tc>
          <w:tcPr>
            <w:tcW w:w="1701" w:type="dxa"/>
            <w:vMerge/>
            <w:shd w:val="clear" w:color="auto" w:fill="auto"/>
          </w:tcPr>
          <w:p w14:paraId="0BCC50E2" w14:textId="77777777" w:rsidR="000266D1" w:rsidRPr="00CE2878" w:rsidRDefault="000266D1" w:rsidP="000266D1">
            <w:pPr>
              <w:pStyle w:val="TableText0"/>
              <w:keepNext w:val="0"/>
              <w:rPr>
                <w:sz w:val="20"/>
              </w:rPr>
            </w:pPr>
          </w:p>
        </w:tc>
        <w:tc>
          <w:tcPr>
            <w:tcW w:w="3402" w:type="dxa"/>
            <w:shd w:val="clear" w:color="auto" w:fill="CCFFCC"/>
          </w:tcPr>
          <w:p w14:paraId="3847A912" w14:textId="77777777" w:rsidR="000266D1" w:rsidRPr="00FE052A" w:rsidRDefault="000266D1" w:rsidP="000266D1">
            <w:pPr>
              <w:pStyle w:val="TableText0"/>
              <w:keepNext w:val="0"/>
            </w:pPr>
          </w:p>
        </w:tc>
      </w:tr>
      <w:tr w:rsidR="000266D1" w:rsidRPr="00CE2878" w14:paraId="602A0649" w14:textId="77777777" w:rsidTr="004E4C48">
        <w:trPr>
          <w:trHeight w:val="746"/>
        </w:trPr>
        <w:tc>
          <w:tcPr>
            <w:tcW w:w="2376" w:type="dxa"/>
            <w:vMerge w:val="restart"/>
            <w:shd w:val="clear" w:color="auto" w:fill="auto"/>
          </w:tcPr>
          <w:p w14:paraId="6D4A0B24" w14:textId="2443C699" w:rsidR="000266D1" w:rsidRPr="00EB22EF" w:rsidRDefault="000266D1" w:rsidP="000266D1">
            <w:pPr>
              <w:pStyle w:val="TableText0"/>
              <w:keepNext w:val="0"/>
              <w:ind w:left="426" w:hanging="426"/>
            </w:pPr>
            <w:r>
              <w:t>6.4</w:t>
            </w:r>
            <w:r>
              <w:tab/>
            </w:r>
            <w:r w:rsidRPr="00EB22EF">
              <w:t>Inadequate</w:t>
            </w:r>
            <w:r>
              <w:t xml:space="preserve"> </w:t>
            </w:r>
            <w:r w:rsidRPr="00EB22EF">
              <w:t>governance of response at state</w:t>
            </w:r>
            <w:r>
              <w:t xml:space="preserve"> or </w:t>
            </w:r>
            <w:r w:rsidRPr="00EB22EF">
              <w:t>territory and national levels</w:t>
            </w:r>
          </w:p>
        </w:tc>
        <w:tc>
          <w:tcPr>
            <w:tcW w:w="993" w:type="dxa"/>
            <w:vMerge w:val="restart"/>
            <w:shd w:val="clear" w:color="auto" w:fill="auto"/>
          </w:tcPr>
          <w:p w14:paraId="4C9A57C4" w14:textId="77777777" w:rsidR="000266D1" w:rsidRPr="00CE2878" w:rsidRDefault="000266D1" w:rsidP="000266D1">
            <w:pPr>
              <w:pStyle w:val="TableText0"/>
              <w:keepNext w:val="0"/>
              <w:rPr>
                <w:sz w:val="20"/>
              </w:rPr>
            </w:pPr>
          </w:p>
        </w:tc>
        <w:tc>
          <w:tcPr>
            <w:tcW w:w="992" w:type="dxa"/>
            <w:vMerge w:val="restart"/>
            <w:shd w:val="clear" w:color="auto" w:fill="auto"/>
          </w:tcPr>
          <w:p w14:paraId="5825E56D" w14:textId="77777777" w:rsidR="000266D1" w:rsidRPr="00CE2878" w:rsidRDefault="000266D1" w:rsidP="000266D1">
            <w:pPr>
              <w:pStyle w:val="TableText0"/>
              <w:keepNext w:val="0"/>
              <w:rPr>
                <w:szCs w:val="24"/>
              </w:rPr>
            </w:pPr>
          </w:p>
        </w:tc>
        <w:tc>
          <w:tcPr>
            <w:tcW w:w="1701" w:type="dxa"/>
            <w:vMerge w:val="restart"/>
            <w:shd w:val="clear" w:color="auto" w:fill="auto"/>
          </w:tcPr>
          <w:p w14:paraId="40DF5DAA" w14:textId="77777777" w:rsidR="000266D1" w:rsidRPr="00CE2878" w:rsidRDefault="000266D1" w:rsidP="000266D1">
            <w:pPr>
              <w:pStyle w:val="TableText0"/>
              <w:keepNext w:val="0"/>
              <w:rPr>
                <w:sz w:val="20"/>
              </w:rPr>
            </w:pPr>
          </w:p>
        </w:tc>
        <w:tc>
          <w:tcPr>
            <w:tcW w:w="3402" w:type="dxa"/>
            <w:shd w:val="clear" w:color="auto" w:fill="auto"/>
          </w:tcPr>
          <w:p w14:paraId="54191F25" w14:textId="7EB813B1" w:rsidR="000266D1" w:rsidRPr="00FE052A" w:rsidRDefault="000266D1" w:rsidP="000266D1">
            <w:pPr>
              <w:pStyle w:val="TableBullet"/>
            </w:pPr>
            <w:r w:rsidRPr="00FE052A">
              <w:t>Governance arrangements are well described and practi</w:t>
            </w:r>
            <w:r>
              <w:t>s</w:t>
            </w:r>
            <w:r w:rsidRPr="00FE052A">
              <w:t>ed</w:t>
            </w:r>
          </w:p>
          <w:p w14:paraId="62CCA6DB" w14:textId="76D87AC3" w:rsidR="000266D1" w:rsidRPr="00FE052A" w:rsidRDefault="000266D1" w:rsidP="000266D1">
            <w:pPr>
              <w:pStyle w:val="TableBullet"/>
            </w:pPr>
            <w:r w:rsidRPr="00FE052A">
              <w:t>Review and monitor</w:t>
            </w:r>
            <w:r>
              <w:t>ing</w:t>
            </w:r>
            <w:r w:rsidRPr="00FE052A">
              <w:t xml:space="preserve"> at each level to be undertaken</w:t>
            </w:r>
          </w:p>
        </w:tc>
      </w:tr>
      <w:tr w:rsidR="000266D1" w:rsidRPr="00CE2878" w14:paraId="367E5DC6" w14:textId="77777777" w:rsidTr="004E4C48">
        <w:trPr>
          <w:trHeight w:val="230"/>
        </w:trPr>
        <w:tc>
          <w:tcPr>
            <w:tcW w:w="2376" w:type="dxa"/>
            <w:vMerge/>
            <w:shd w:val="clear" w:color="auto" w:fill="auto"/>
          </w:tcPr>
          <w:p w14:paraId="473FF97B" w14:textId="77777777" w:rsidR="000266D1" w:rsidRPr="00EB22EF" w:rsidRDefault="000266D1" w:rsidP="000266D1">
            <w:pPr>
              <w:pStyle w:val="TableText0"/>
              <w:keepNext w:val="0"/>
            </w:pPr>
          </w:p>
        </w:tc>
        <w:tc>
          <w:tcPr>
            <w:tcW w:w="993" w:type="dxa"/>
            <w:vMerge/>
            <w:shd w:val="clear" w:color="auto" w:fill="auto"/>
          </w:tcPr>
          <w:p w14:paraId="7C52D127" w14:textId="77777777" w:rsidR="000266D1" w:rsidRPr="00CE2878" w:rsidRDefault="000266D1" w:rsidP="000266D1">
            <w:pPr>
              <w:pStyle w:val="TableText0"/>
              <w:keepNext w:val="0"/>
              <w:rPr>
                <w:sz w:val="20"/>
              </w:rPr>
            </w:pPr>
          </w:p>
        </w:tc>
        <w:tc>
          <w:tcPr>
            <w:tcW w:w="992" w:type="dxa"/>
            <w:vMerge/>
            <w:shd w:val="clear" w:color="auto" w:fill="auto"/>
          </w:tcPr>
          <w:p w14:paraId="102EAD79" w14:textId="77777777" w:rsidR="000266D1" w:rsidRPr="00CE2878" w:rsidRDefault="000266D1" w:rsidP="000266D1">
            <w:pPr>
              <w:pStyle w:val="TableText0"/>
              <w:keepNext w:val="0"/>
              <w:rPr>
                <w:sz w:val="20"/>
              </w:rPr>
            </w:pPr>
          </w:p>
        </w:tc>
        <w:tc>
          <w:tcPr>
            <w:tcW w:w="1701" w:type="dxa"/>
            <w:vMerge/>
            <w:shd w:val="clear" w:color="auto" w:fill="auto"/>
          </w:tcPr>
          <w:p w14:paraId="69C1A870" w14:textId="77777777" w:rsidR="000266D1" w:rsidRPr="00CE2878" w:rsidRDefault="000266D1" w:rsidP="000266D1">
            <w:pPr>
              <w:pStyle w:val="TableText0"/>
              <w:keepNext w:val="0"/>
              <w:rPr>
                <w:sz w:val="20"/>
              </w:rPr>
            </w:pPr>
          </w:p>
        </w:tc>
        <w:tc>
          <w:tcPr>
            <w:tcW w:w="3402" w:type="dxa"/>
            <w:shd w:val="clear" w:color="auto" w:fill="CCFFCC"/>
          </w:tcPr>
          <w:p w14:paraId="4567B458" w14:textId="77777777" w:rsidR="000266D1" w:rsidRPr="00FE052A" w:rsidRDefault="000266D1" w:rsidP="000266D1">
            <w:pPr>
              <w:pStyle w:val="TableText0"/>
              <w:keepNext w:val="0"/>
            </w:pPr>
          </w:p>
        </w:tc>
      </w:tr>
      <w:tr w:rsidR="000266D1" w:rsidRPr="00CE2878" w14:paraId="54965068" w14:textId="77777777" w:rsidTr="004E4C48">
        <w:trPr>
          <w:trHeight w:val="422"/>
        </w:trPr>
        <w:tc>
          <w:tcPr>
            <w:tcW w:w="2376" w:type="dxa"/>
            <w:vMerge w:val="restart"/>
            <w:shd w:val="clear" w:color="auto" w:fill="auto"/>
          </w:tcPr>
          <w:p w14:paraId="28E04B8C" w14:textId="77777777" w:rsidR="000266D1" w:rsidRPr="00EB22EF" w:rsidRDefault="000266D1" w:rsidP="000266D1">
            <w:pPr>
              <w:pStyle w:val="TableText0"/>
              <w:keepNext w:val="0"/>
              <w:ind w:left="426" w:hanging="426"/>
            </w:pPr>
            <w:r>
              <w:t>6.5</w:t>
            </w:r>
            <w:r>
              <w:tab/>
            </w:r>
            <w:r w:rsidRPr="00EB22EF">
              <w:t>WOG commitment is less than required to meet the needs of the response</w:t>
            </w:r>
          </w:p>
        </w:tc>
        <w:tc>
          <w:tcPr>
            <w:tcW w:w="993" w:type="dxa"/>
            <w:vMerge w:val="restart"/>
            <w:shd w:val="clear" w:color="auto" w:fill="auto"/>
          </w:tcPr>
          <w:p w14:paraId="3FBF12CD" w14:textId="77777777" w:rsidR="000266D1" w:rsidRPr="00CE2878" w:rsidRDefault="000266D1" w:rsidP="000266D1">
            <w:pPr>
              <w:pStyle w:val="TableText0"/>
              <w:keepNext w:val="0"/>
              <w:rPr>
                <w:sz w:val="20"/>
              </w:rPr>
            </w:pPr>
          </w:p>
        </w:tc>
        <w:tc>
          <w:tcPr>
            <w:tcW w:w="992" w:type="dxa"/>
            <w:vMerge w:val="restart"/>
            <w:shd w:val="clear" w:color="auto" w:fill="auto"/>
          </w:tcPr>
          <w:p w14:paraId="20410D41" w14:textId="77777777" w:rsidR="000266D1" w:rsidRPr="00CE2878" w:rsidRDefault="000266D1" w:rsidP="000266D1">
            <w:pPr>
              <w:pStyle w:val="TableText0"/>
              <w:keepNext w:val="0"/>
              <w:rPr>
                <w:szCs w:val="24"/>
              </w:rPr>
            </w:pPr>
          </w:p>
        </w:tc>
        <w:tc>
          <w:tcPr>
            <w:tcW w:w="1701" w:type="dxa"/>
            <w:vMerge w:val="restart"/>
            <w:shd w:val="clear" w:color="auto" w:fill="auto"/>
          </w:tcPr>
          <w:p w14:paraId="7AA634BA" w14:textId="77777777" w:rsidR="000266D1" w:rsidRPr="00CE2878" w:rsidRDefault="000266D1" w:rsidP="000266D1">
            <w:pPr>
              <w:pStyle w:val="TableText0"/>
              <w:keepNext w:val="0"/>
              <w:rPr>
                <w:sz w:val="20"/>
              </w:rPr>
            </w:pPr>
          </w:p>
        </w:tc>
        <w:tc>
          <w:tcPr>
            <w:tcW w:w="3402" w:type="dxa"/>
            <w:shd w:val="clear" w:color="auto" w:fill="auto"/>
          </w:tcPr>
          <w:p w14:paraId="5541B3A9" w14:textId="77777777" w:rsidR="000266D1" w:rsidRPr="00FE052A" w:rsidRDefault="000266D1" w:rsidP="000266D1">
            <w:pPr>
              <w:pStyle w:val="TableBullet"/>
            </w:pPr>
            <w:r w:rsidRPr="00FE052A">
              <w:t>As for 6.1</w:t>
            </w:r>
          </w:p>
        </w:tc>
      </w:tr>
      <w:tr w:rsidR="000266D1" w:rsidRPr="00CE2878" w14:paraId="32951C2F" w14:textId="77777777" w:rsidTr="004E4C48">
        <w:trPr>
          <w:trHeight w:val="345"/>
        </w:trPr>
        <w:tc>
          <w:tcPr>
            <w:tcW w:w="2376" w:type="dxa"/>
            <w:vMerge/>
            <w:shd w:val="clear" w:color="auto" w:fill="auto"/>
          </w:tcPr>
          <w:p w14:paraId="259782D8" w14:textId="77777777" w:rsidR="000266D1" w:rsidRPr="00EB22EF" w:rsidRDefault="000266D1" w:rsidP="000266D1">
            <w:pPr>
              <w:pStyle w:val="TableText0"/>
              <w:keepNext w:val="0"/>
            </w:pPr>
          </w:p>
        </w:tc>
        <w:tc>
          <w:tcPr>
            <w:tcW w:w="993" w:type="dxa"/>
            <w:vMerge/>
            <w:shd w:val="clear" w:color="auto" w:fill="auto"/>
          </w:tcPr>
          <w:p w14:paraId="408362DF" w14:textId="77777777" w:rsidR="000266D1" w:rsidRPr="00CE2878" w:rsidRDefault="000266D1" w:rsidP="000266D1">
            <w:pPr>
              <w:pStyle w:val="TableText0"/>
              <w:keepNext w:val="0"/>
              <w:rPr>
                <w:sz w:val="20"/>
              </w:rPr>
            </w:pPr>
          </w:p>
        </w:tc>
        <w:tc>
          <w:tcPr>
            <w:tcW w:w="992" w:type="dxa"/>
            <w:vMerge/>
            <w:shd w:val="clear" w:color="auto" w:fill="auto"/>
          </w:tcPr>
          <w:p w14:paraId="0B74ED04" w14:textId="77777777" w:rsidR="000266D1" w:rsidRPr="00CE2878" w:rsidRDefault="000266D1" w:rsidP="000266D1">
            <w:pPr>
              <w:pStyle w:val="TableText0"/>
              <w:keepNext w:val="0"/>
              <w:rPr>
                <w:sz w:val="20"/>
              </w:rPr>
            </w:pPr>
          </w:p>
        </w:tc>
        <w:tc>
          <w:tcPr>
            <w:tcW w:w="1701" w:type="dxa"/>
            <w:vMerge/>
            <w:shd w:val="clear" w:color="auto" w:fill="auto"/>
          </w:tcPr>
          <w:p w14:paraId="1FB56A6D" w14:textId="77777777" w:rsidR="000266D1" w:rsidRPr="00CE2878" w:rsidRDefault="000266D1" w:rsidP="000266D1">
            <w:pPr>
              <w:pStyle w:val="TableText0"/>
              <w:keepNext w:val="0"/>
              <w:rPr>
                <w:sz w:val="20"/>
              </w:rPr>
            </w:pPr>
          </w:p>
        </w:tc>
        <w:tc>
          <w:tcPr>
            <w:tcW w:w="3402" w:type="dxa"/>
            <w:shd w:val="clear" w:color="auto" w:fill="CCFFCC"/>
          </w:tcPr>
          <w:p w14:paraId="0DC0A560" w14:textId="77777777" w:rsidR="000266D1" w:rsidRPr="00FE052A" w:rsidRDefault="000266D1" w:rsidP="000266D1">
            <w:pPr>
              <w:pStyle w:val="TableText0"/>
              <w:keepNext w:val="0"/>
            </w:pPr>
          </w:p>
        </w:tc>
      </w:tr>
      <w:tr w:rsidR="000266D1" w:rsidRPr="007B3ABA" w14:paraId="11E1C225" w14:textId="77777777" w:rsidTr="004E4C48">
        <w:tc>
          <w:tcPr>
            <w:tcW w:w="9464" w:type="dxa"/>
            <w:gridSpan w:val="5"/>
            <w:shd w:val="clear" w:color="auto" w:fill="F2F2F2" w:themeFill="background1" w:themeFillShade="F2"/>
          </w:tcPr>
          <w:p w14:paraId="1D66F56B" w14:textId="77777777" w:rsidR="000266D1" w:rsidRPr="007B3ABA" w:rsidRDefault="000266D1" w:rsidP="000266D1">
            <w:pPr>
              <w:pStyle w:val="TableText0"/>
              <w:keepNext w:val="0"/>
              <w:rPr>
                <w:b/>
              </w:rPr>
            </w:pPr>
            <w:r w:rsidRPr="007B3ABA">
              <w:rPr>
                <w:b/>
              </w:rPr>
              <w:t>7 Legal risks</w:t>
            </w:r>
          </w:p>
        </w:tc>
      </w:tr>
      <w:tr w:rsidR="000266D1" w:rsidRPr="00CE2878" w14:paraId="5F4ABF8F" w14:textId="77777777" w:rsidTr="004E4C48">
        <w:trPr>
          <w:trHeight w:val="115"/>
        </w:trPr>
        <w:tc>
          <w:tcPr>
            <w:tcW w:w="2376" w:type="dxa"/>
            <w:vMerge w:val="restart"/>
            <w:shd w:val="clear" w:color="auto" w:fill="auto"/>
          </w:tcPr>
          <w:p w14:paraId="1CE1C8BB" w14:textId="77777777" w:rsidR="000266D1" w:rsidRPr="00EB22EF" w:rsidRDefault="000266D1" w:rsidP="000266D1">
            <w:pPr>
              <w:pStyle w:val="TableText0"/>
              <w:keepNext w:val="0"/>
              <w:ind w:left="426" w:hanging="426"/>
            </w:pPr>
            <w:r>
              <w:t>7.1</w:t>
            </w:r>
            <w:r>
              <w:tab/>
            </w:r>
            <w:r w:rsidRPr="00EB22EF">
              <w:t>Inadequate powers to support response</w:t>
            </w:r>
          </w:p>
        </w:tc>
        <w:tc>
          <w:tcPr>
            <w:tcW w:w="993" w:type="dxa"/>
            <w:vMerge w:val="restart"/>
            <w:shd w:val="clear" w:color="auto" w:fill="auto"/>
          </w:tcPr>
          <w:p w14:paraId="1CDE65C2" w14:textId="77777777" w:rsidR="000266D1" w:rsidRPr="00CE2878" w:rsidRDefault="000266D1" w:rsidP="000266D1">
            <w:pPr>
              <w:pStyle w:val="TableText0"/>
              <w:keepNext w:val="0"/>
              <w:rPr>
                <w:sz w:val="20"/>
              </w:rPr>
            </w:pPr>
          </w:p>
        </w:tc>
        <w:tc>
          <w:tcPr>
            <w:tcW w:w="992" w:type="dxa"/>
            <w:vMerge w:val="restart"/>
            <w:shd w:val="clear" w:color="auto" w:fill="auto"/>
          </w:tcPr>
          <w:p w14:paraId="1AF28351" w14:textId="77777777" w:rsidR="000266D1" w:rsidRPr="00CE2878" w:rsidRDefault="000266D1" w:rsidP="000266D1">
            <w:pPr>
              <w:pStyle w:val="TableText0"/>
              <w:keepNext w:val="0"/>
              <w:rPr>
                <w:color w:val="FF9900"/>
                <w:sz w:val="20"/>
              </w:rPr>
            </w:pPr>
          </w:p>
        </w:tc>
        <w:tc>
          <w:tcPr>
            <w:tcW w:w="1701" w:type="dxa"/>
            <w:vMerge w:val="restart"/>
            <w:shd w:val="clear" w:color="auto" w:fill="auto"/>
          </w:tcPr>
          <w:p w14:paraId="64A48AF9" w14:textId="77777777" w:rsidR="000266D1" w:rsidRPr="00CE2878" w:rsidRDefault="000266D1" w:rsidP="000266D1">
            <w:pPr>
              <w:pStyle w:val="TableText0"/>
              <w:keepNext w:val="0"/>
              <w:rPr>
                <w:sz w:val="20"/>
              </w:rPr>
            </w:pPr>
          </w:p>
        </w:tc>
        <w:tc>
          <w:tcPr>
            <w:tcW w:w="3402" w:type="dxa"/>
            <w:shd w:val="clear" w:color="auto" w:fill="auto"/>
          </w:tcPr>
          <w:p w14:paraId="1774566A" w14:textId="69EA88A4" w:rsidR="000266D1" w:rsidRPr="00FE052A" w:rsidRDefault="000266D1" w:rsidP="000266D1">
            <w:pPr>
              <w:pStyle w:val="TableBullet"/>
            </w:pPr>
            <w:r w:rsidRPr="00FE052A">
              <w:t>Existing powers are well rehearsed and used successfully</w:t>
            </w:r>
          </w:p>
          <w:p w14:paraId="6523DFD2" w14:textId="6588FAE1" w:rsidR="000266D1" w:rsidRPr="00FE052A" w:rsidRDefault="000266D1" w:rsidP="000266D1">
            <w:pPr>
              <w:pStyle w:val="TableBullet"/>
            </w:pPr>
            <w:r w:rsidRPr="00FE052A">
              <w:t>Powers have been adequate over time</w:t>
            </w:r>
          </w:p>
          <w:p w14:paraId="2C4E67C9" w14:textId="472FEE38" w:rsidR="000266D1" w:rsidRPr="00FE052A" w:rsidRDefault="000266D1" w:rsidP="000266D1">
            <w:pPr>
              <w:pStyle w:val="TableBullet"/>
            </w:pPr>
            <w:r w:rsidRPr="00FE052A">
              <w:t xml:space="preserve">Validate use of powers </w:t>
            </w:r>
            <w:r>
              <w:t xml:space="preserve">before </w:t>
            </w:r>
            <w:r w:rsidRPr="00FE052A">
              <w:t>actual use of the authority</w:t>
            </w:r>
          </w:p>
          <w:p w14:paraId="56F06475" w14:textId="14D2A413" w:rsidR="000266D1" w:rsidRPr="00FE052A" w:rsidRDefault="000266D1" w:rsidP="000266D1">
            <w:pPr>
              <w:pStyle w:val="TableBullet"/>
            </w:pPr>
            <w:r w:rsidRPr="00FE052A">
              <w:t>Legal advice is always sought before powers are exercised</w:t>
            </w:r>
          </w:p>
        </w:tc>
      </w:tr>
      <w:tr w:rsidR="000266D1" w:rsidRPr="00CE2878" w14:paraId="2CF6A9D7" w14:textId="77777777" w:rsidTr="004E4C48">
        <w:trPr>
          <w:trHeight w:val="115"/>
        </w:trPr>
        <w:tc>
          <w:tcPr>
            <w:tcW w:w="2376" w:type="dxa"/>
            <w:vMerge/>
            <w:shd w:val="clear" w:color="auto" w:fill="auto"/>
          </w:tcPr>
          <w:p w14:paraId="51A3AFBC" w14:textId="77777777" w:rsidR="000266D1" w:rsidRPr="00EB22EF" w:rsidRDefault="000266D1" w:rsidP="000266D1">
            <w:pPr>
              <w:pStyle w:val="TableText0"/>
              <w:keepNext w:val="0"/>
            </w:pPr>
          </w:p>
        </w:tc>
        <w:tc>
          <w:tcPr>
            <w:tcW w:w="993" w:type="dxa"/>
            <w:vMerge/>
            <w:shd w:val="clear" w:color="auto" w:fill="auto"/>
          </w:tcPr>
          <w:p w14:paraId="0F999086" w14:textId="77777777" w:rsidR="000266D1" w:rsidRPr="00CE2878" w:rsidRDefault="000266D1" w:rsidP="000266D1">
            <w:pPr>
              <w:pStyle w:val="TableText0"/>
              <w:keepNext w:val="0"/>
              <w:rPr>
                <w:sz w:val="20"/>
              </w:rPr>
            </w:pPr>
          </w:p>
        </w:tc>
        <w:tc>
          <w:tcPr>
            <w:tcW w:w="992" w:type="dxa"/>
            <w:vMerge/>
            <w:shd w:val="clear" w:color="auto" w:fill="auto"/>
          </w:tcPr>
          <w:p w14:paraId="114A1443" w14:textId="77777777" w:rsidR="000266D1" w:rsidRPr="00CE2878" w:rsidRDefault="000266D1" w:rsidP="000266D1">
            <w:pPr>
              <w:pStyle w:val="TableText0"/>
              <w:keepNext w:val="0"/>
              <w:rPr>
                <w:sz w:val="20"/>
              </w:rPr>
            </w:pPr>
          </w:p>
        </w:tc>
        <w:tc>
          <w:tcPr>
            <w:tcW w:w="1701" w:type="dxa"/>
            <w:vMerge/>
            <w:shd w:val="clear" w:color="auto" w:fill="auto"/>
          </w:tcPr>
          <w:p w14:paraId="61F80EED" w14:textId="77777777" w:rsidR="000266D1" w:rsidRPr="00CE2878" w:rsidRDefault="000266D1" w:rsidP="000266D1">
            <w:pPr>
              <w:pStyle w:val="TableText0"/>
              <w:keepNext w:val="0"/>
              <w:rPr>
                <w:sz w:val="20"/>
              </w:rPr>
            </w:pPr>
          </w:p>
        </w:tc>
        <w:tc>
          <w:tcPr>
            <w:tcW w:w="3402" w:type="dxa"/>
            <w:shd w:val="clear" w:color="auto" w:fill="CCFFCC"/>
          </w:tcPr>
          <w:p w14:paraId="046189F8" w14:textId="77777777" w:rsidR="000266D1" w:rsidRPr="00FE052A" w:rsidRDefault="000266D1" w:rsidP="000266D1">
            <w:pPr>
              <w:pStyle w:val="TableText0"/>
              <w:keepNext w:val="0"/>
            </w:pPr>
          </w:p>
        </w:tc>
      </w:tr>
      <w:tr w:rsidR="000266D1" w:rsidRPr="00CE2878" w14:paraId="29414851" w14:textId="77777777" w:rsidTr="004E4C48">
        <w:trPr>
          <w:trHeight w:val="345"/>
        </w:trPr>
        <w:tc>
          <w:tcPr>
            <w:tcW w:w="2376" w:type="dxa"/>
            <w:vMerge w:val="restart"/>
            <w:shd w:val="clear" w:color="auto" w:fill="auto"/>
          </w:tcPr>
          <w:p w14:paraId="0DDE602B" w14:textId="4CB51D13" w:rsidR="000266D1" w:rsidRPr="00EB22EF" w:rsidRDefault="000266D1" w:rsidP="006E645C">
            <w:pPr>
              <w:pStyle w:val="TableText0"/>
              <w:ind w:left="426" w:hanging="426"/>
            </w:pPr>
            <w:r>
              <w:t>7.2</w:t>
            </w:r>
            <w:r>
              <w:tab/>
            </w:r>
            <w:r w:rsidRPr="00EB22EF">
              <w:t>Legal requirements not appropriately recognised</w:t>
            </w:r>
            <w:r>
              <w:t xml:space="preserve"> or </w:t>
            </w:r>
            <w:r w:rsidRPr="00EB22EF">
              <w:t>complied with by partners/community</w:t>
            </w:r>
          </w:p>
        </w:tc>
        <w:tc>
          <w:tcPr>
            <w:tcW w:w="993" w:type="dxa"/>
            <w:vMerge w:val="restart"/>
            <w:shd w:val="clear" w:color="auto" w:fill="auto"/>
          </w:tcPr>
          <w:p w14:paraId="271C1AE7" w14:textId="77777777" w:rsidR="000266D1" w:rsidRPr="00CE2878" w:rsidRDefault="000266D1" w:rsidP="006E645C">
            <w:pPr>
              <w:pStyle w:val="TableText0"/>
              <w:rPr>
                <w:sz w:val="20"/>
              </w:rPr>
            </w:pPr>
          </w:p>
        </w:tc>
        <w:tc>
          <w:tcPr>
            <w:tcW w:w="992" w:type="dxa"/>
            <w:vMerge w:val="restart"/>
            <w:shd w:val="clear" w:color="auto" w:fill="auto"/>
          </w:tcPr>
          <w:p w14:paraId="7C40DC1E" w14:textId="77777777" w:rsidR="000266D1" w:rsidRPr="00CE2878" w:rsidRDefault="000266D1" w:rsidP="006E645C">
            <w:pPr>
              <w:pStyle w:val="TableText0"/>
              <w:rPr>
                <w:sz w:val="20"/>
              </w:rPr>
            </w:pPr>
          </w:p>
        </w:tc>
        <w:tc>
          <w:tcPr>
            <w:tcW w:w="1701" w:type="dxa"/>
            <w:vMerge w:val="restart"/>
            <w:shd w:val="clear" w:color="auto" w:fill="auto"/>
          </w:tcPr>
          <w:p w14:paraId="5F4960AF" w14:textId="77777777" w:rsidR="000266D1" w:rsidRPr="00CE2878" w:rsidRDefault="000266D1" w:rsidP="006E645C">
            <w:pPr>
              <w:pStyle w:val="TableText0"/>
              <w:rPr>
                <w:sz w:val="20"/>
              </w:rPr>
            </w:pPr>
          </w:p>
        </w:tc>
        <w:tc>
          <w:tcPr>
            <w:tcW w:w="3402" w:type="dxa"/>
            <w:shd w:val="clear" w:color="auto" w:fill="auto"/>
          </w:tcPr>
          <w:p w14:paraId="1D0F0819" w14:textId="6D3840A0" w:rsidR="000266D1" w:rsidRPr="00BF6217" w:rsidRDefault="000266D1" w:rsidP="006E645C">
            <w:pPr>
              <w:pStyle w:val="TableBullet"/>
            </w:pPr>
            <w:r w:rsidRPr="00BF6217">
              <w:t>Communications and Community Engagement Program encourages community and partners to identify and report noncompliance</w:t>
            </w:r>
          </w:p>
          <w:p w14:paraId="64B6577C" w14:textId="7A6DD885" w:rsidR="000266D1" w:rsidRPr="00BF6217" w:rsidRDefault="000266D1" w:rsidP="006E645C">
            <w:pPr>
              <w:pStyle w:val="TableBullet"/>
            </w:pPr>
            <w:r w:rsidRPr="00BF6217">
              <w:t>Call centre in place to process reports</w:t>
            </w:r>
          </w:p>
          <w:p w14:paraId="424716EC" w14:textId="3BE519AF" w:rsidR="000266D1" w:rsidRPr="00BF6217" w:rsidRDefault="000266D1" w:rsidP="006E645C">
            <w:pPr>
              <w:pStyle w:val="TableBullet"/>
            </w:pPr>
            <w:r w:rsidRPr="00BF6217">
              <w:t>Review and monitoring to be undertaken to assess success of Communications and Community Engagement Program</w:t>
            </w:r>
          </w:p>
          <w:p w14:paraId="3C4744A2" w14:textId="74439936" w:rsidR="000266D1" w:rsidRPr="00FE052A" w:rsidRDefault="000266D1" w:rsidP="006E645C">
            <w:pPr>
              <w:pStyle w:val="TableBullet"/>
            </w:pPr>
            <w:r w:rsidRPr="00FE052A">
              <w:t xml:space="preserve">Compliance and other movement control activities to manage any inappropriate actions by community </w:t>
            </w:r>
            <w:r>
              <w:t>or</w:t>
            </w:r>
            <w:r w:rsidRPr="00FE052A">
              <w:t xml:space="preserve"> partners</w:t>
            </w:r>
          </w:p>
          <w:p w14:paraId="1520E015" w14:textId="1AB38E1E" w:rsidR="000266D1" w:rsidRPr="00FE052A" w:rsidRDefault="000266D1" w:rsidP="006E645C">
            <w:pPr>
              <w:pStyle w:val="TableBullet"/>
            </w:pPr>
            <w:r w:rsidRPr="00BF6217">
              <w:t>Compliance Plan that i</w:t>
            </w:r>
            <w:r w:rsidRPr="00FE052A">
              <w:t xml:space="preserve">ncludes audits and </w:t>
            </w:r>
            <w:r>
              <w:t>p</w:t>
            </w:r>
            <w:r w:rsidRPr="00FE052A">
              <w:t xml:space="preserve">erformance </w:t>
            </w:r>
            <w:r>
              <w:t>i</w:t>
            </w:r>
            <w:r w:rsidRPr="00FE052A">
              <w:t>ndicators/milestones</w:t>
            </w:r>
          </w:p>
        </w:tc>
      </w:tr>
      <w:tr w:rsidR="000266D1" w:rsidRPr="00CE2878" w14:paraId="68595520" w14:textId="77777777" w:rsidTr="004E4C48">
        <w:trPr>
          <w:trHeight w:val="203"/>
        </w:trPr>
        <w:tc>
          <w:tcPr>
            <w:tcW w:w="2376" w:type="dxa"/>
            <w:vMerge/>
            <w:shd w:val="clear" w:color="auto" w:fill="auto"/>
          </w:tcPr>
          <w:p w14:paraId="4880183A" w14:textId="77777777" w:rsidR="000266D1" w:rsidRPr="00EB22EF" w:rsidRDefault="000266D1" w:rsidP="006E645C">
            <w:pPr>
              <w:pStyle w:val="TableText0"/>
              <w:rPr>
                <w:sz w:val="18"/>
                <w:szCs w:val="18"/>
              </w:rPr>
            </w:pPr>
          </w:p>
        </w:tc>
        <w:tc>
          <w:tcPr>
            <w:tcW w:w="993" w:type="dxa"/>
            <w:vMerge/>
            <w:shd w:val="clear" w:color="auto" w:fill="auto"/>
          </w:tcPr>
          <w:p w14:paraId="752E49E0" w14:textId="77777777" w:rsidR="000266D1" w:rsidRPr="00CE2878" w:rsidRDefault="000266D1" w:rsidP="006E645C">
            <w:pPr>
              <w:pStyle w:val="TableText0"/>
              <w:rPr>
                <w:sz w:val="20"/>
              </w:rPr>
            </w:pPr>
          </w:p>
        </w:tc>
        <w:tc>
          <w:tcPr>
            <w:tcW w:w="992" w:type="dxa"/>
            <w:vMerge/>
            <w:shd w:val="clear" w:color="auto" w:fill="auto"/>
          </w:tcPr>
          <w:p w14:paraId="0BD50A4B" w14:textId="77777777" w:rsidR="000266D1" w:rsidRPr="00CE2878" w:rsidRDefault="000266D1" w:rsidP="006E645C">
            <w:pPr>
              <w:pStyle w:val="TableText0"/>
              <w:rPr>
                <w:sz w:val="20"/>
              </w:rPr>
            </w:pPr>
          </w:p>
        </w:tc>
        <w:tc>
          <w:tcPr>
            <w:tcW w:w="1701" w:type="dxa"/>
            <w:vMerge/>
            <w:shd w:val="clear" w:color="auto" w:fill="auto"/>
          </w:tcPr>
          <w:p w14:paraId="06F892BA" w14:textId="77777777" w:rsidR="000266D1" w:rsidRPr="00CE2878" w:rsidRDefault="000266D1" w:rsidP="006E645C">
            <w:pPr>
              <w:pStyle w:val="TableText0"/>
              <w:rPr>
                <w:sz w:val="20"/>
              </w:rPr>
            </w:pPr>
          </w:p>
        </w:tc>
        <w:tc>
          <w:tcPr>
            <w:tcW w:w="3402" w:type="dxa"/>
            <w:shd w:val="clear" w:color="auto" w:fill="FFCC99"/>
          </w:tcPr>
          <w:p w14:paraId="092194E2" w14:textId="77777777" w:rsidR="000266D1" w:rsidRPr="00CE2878" w:rsidRDefault="000266D1" w:rsidP="006E645C">
            <w:pPr>
              <w:pStyle w:val="TableText0"/>
              <w:rPr>
                <w:sz w:val="18"/>
                <w:szCs w:val="18"/>
              </w:rPr>
            </w:pPr>
          </w:p>
        </w:tc>
      </w:tr>
      <w:tr w:rsidR="000266D1" w:rsidRPr="00CE2878" w14:paraId="08B513B8" w14:textId="77777777" w:rsidTr="004E4C48">
        <w:trPr>
          <w:trHeight w:val="752"/>
        </w:trPr>
        <w:tc>
          <w:tcPr>
            <w:tcW w:w="2376" w:type="dxa"/>
            <w:vMerge w:val="restart"/>
            <w:shd w:val="clear" w:color="auto" w:fill="auto"/>
          </w:tcPr>
          <w:p w14:paraId="4623A137" w14:textId="77771275" w:rsidR="000266D1" w:rsidRPr="00FE052A" w:rsidRDefault="000266D1" w:rsidP="000266D1">
            <w:pPr>
              <w:pStyle w:val="TableText0"/>
              <w:keepNext w:val="0"/>
              <w:ind w:left="426" w:hanging="426"/>
            </w:pPr>
            <w:r>
              <w:t>7.3</w:t>
            </w:r>
            <w:r>
              <w:tab/>
            </w:r>
            <w:r w:rsidRPr="00FE052A">
              <w:t>Declared areas/zones do not meet operational, community and technical needs</w:t>
            </w:r>
          </w:p>
        </w:tc>
        <w:tc>
          <w:tcPr>
            <w:tcW w:w="993" w:type="dxa"/>
            <w:vMerge w:val="restart"/>
            <w:shd w:val="clear" w:color="auto" w:fill="auto"/>
          </w:tcPr>
          <w:p w14:paraId="5FEC86BB" w14:textId="77777777" w:rsidR="000266D1" w:rsidRPr="00FE052A" w:rsidRDefault="000266D1" w:rsidP="000266D1">
            <w:pPr>
              <w:pStyle w:val="TableText0"/>
              <w:keepNext w:val="0"/>
            </w:pPr>
          </w:p>
        </w:tc>
        <w:tc>
          <w:tcPr>
            <w:tcW w:w="992" w:type="dxa"/>
            <w:vMerge w:val="restart"/>
            <w:shd w:val="clear" w:color="auto" w:fill="auto"/>
          </w:tcPr>
          <w:p w14:paraId="0FF9A647" w14:textId="77777777" w:rsidR="000266D1" w:rsidRPr="00FE052A" w:rsidRDefault="000266D1" w:rsidP="000266D1">
            <w:pPr>
              <w:pStyle w:val="TableText0"/>
              <w:keepNext w:val="0"/>
            </w:pPr>
          </w:p>
        </w:tc>
        <w:tc>
          <w:tcPr>
            <w:tcW w:w="1701" w:type="dxa"/>
            <w:vMerge w:val="restart"/>
            <w:shd w:val="clear" w:color="auto" w:fill="auto"/>
          </w:tcPr>
          <w:p w14:paraId="776CAC4F" w14:textId="77777777" w:rsidR="000266D1" w:rsidRPr="00FE052A" w:rsidRDefault="000266D1" w:rsidP="000266D1">
            <w:pPr>
              <w:pStyle w:val="TableText0"/>
              <w:keepNext w:val="0"/>
            </w:pPr>
          </w:p>
        </w:tc>
        <w:tc>
          <w:tcPr>
            <w:tcW w:w="3402" w:type="dxa"/>
            <w:shd w:val="clear" w:color="auto" w:fill="auto"/>
          </w:tcPr>
          <w:p w14:paraId="1F1B4D95" w14:textId="77777777" w:rsidR="000266D1" w:rsidRPr="00FE052A" w:rsidRDefault="000266D1" w:rsidP="000266D1">
            <w:pPr>
              <w:pStyle w:val="TableBullet"/>
            </w:pPr>
            <w:r w:rsidRPr="00FE052A">
              <w:t>As for 7.2</w:t>
            </w:r>
          </w:p>
          <w:p w14:paraId="757C22C5" w14:textId="6CDDC278" w:rsidR="000266D1" w:rsidRPr="00FE052A" w:rsidRDefault="000266D1" w:rsidP="000266D1">
            <w:pPr>
              <w:pStyle w:val="TableBullet"/>
            </w:pPr>
            <w:r w:rsidRPr="00FE052A">
              <w:t xml:space="preserve">Planning to systematically assess risks for each zone and develop options to mitigate the risks to an </w:t>
            </w:r>
            <w:r>
              <w:t>acceptable</w:t>
            </w:r>
            <w:r w:rsidRPr="00FE052A">
              <w:t xml:space="preserve"> level</w:t>
            </w:r>
          </w:p>
          <w:p w14:paraId="364ED102" w14:textId="0E6D0FF1" w:rsidR="000266D1" w:rsidRPr="00FE052A" w:rsidRDefault="000266D1" w:rsidP="000266D1">
            <w:pPr>
              <w:pStyle w:val="TableBullet"/>
            </w:pPr>
            <w:r w:rsidRPr="0018466B">
              <w:t xml:space="preserve">Movement Control </w:t>
            </w:r>
            <w:r>
              <w:t xml:space="preserve">Plan </w:t>
            </w:r>
            <w:r w:rsidRPr="0018466B">
              <w:t>and/or Compliance Plan in p</w:t>
            </w:r>
            <w:r w:rsidRPr="00FE052A">
              <w:t>lace and developed in collaboration with key partners and stakeholders</w:t>
            </w:r>
          </w:p>
        </w:tc>
      </w:tr>
      <w:tr w:rsidR="000266D1" w:rsidRPr="00CE2878" w14:paraId="51E921A9" w14:textId="77777777" w:rsidTr="004E4C48">
        <w:trPr>
          <w:trHeight w:val="203"/>
        </w:trPr>
        <w:tc>
          <w:tcPr>
            <w:tcW w:w="2376" w:type="dxa"/>
            <w:vMerge/>
            <w:shd w:val="clear" w:color="auto" w:fill="auto"/>
          </w:tcPr>
          <w:p w14:paraId="25C23317" w14:textId="77777777" w:rsidR="000266D1" w:rsidRPr="00FE052A" w:rsidRDefault="000266D1" w:rsidP="000266D1">
            <w:pPr>
              <w:pStyle w:val="TableText0"/>
              <w:keepNext w:val="0"/>
            </w:pPr>
          </w:p>
        </w:tc>
        <w:tc>
          <w:tcPr>
            <w:tcW w:w="993" w:type="dxa"/>
            <w:vMerge/>
            <w:shd w:val="clear" w:color="auto" w:fill="auto"/>
          </w:tcPr>
          <w:p w14:paraId="262ECA81" w14:textId="77777777" w:rsidR="000266D1" w:rsidRPr="00FE052A" w:rsidRDefault="000266D1" w:rsidP="000266D1">
            <w:pPr>
              <w:pStyle w:val="TableText0"/>
              <w:keepNext w:val="0"/>
            </w:pPr>
          </w:p>
        </w:tc>
        <w:tc>
          <w:tcPr>
            <w:tcW w:w="992" w:type="dxa"/>
            <w:vMerge/>
            <w:shd w:val="clear" w:color="auto" w:fill="auto"/>
          </w:tcPr>
          <w:p w14:paraId="6C1B85D6" w14:textId="77777777" w:rsidR="000266D1" w:rsidRPr="00FE052A" w:rsidRDefault="000266D1" w:rsidP="000266D1">
            <w:pPr>
              <w:pStyle w:val="TableText0"/>
              <w:keepNext w:val="0"/>
            </w:pPr>
          </w:p>
        </w:tc>
        <w:tc>
          <w:tcPr>
            <w:tcW w:w="1701" w:type="dxa"/>
            <w:vMerge/>
            <w:shd w:val="clear" w:color="auto" w:fill="auto"/>
          </w:tcPr>
          <w:p w14:paraId="76EA4DD0" w14:textId="77777777" w:rsidR="000266D1" w:rsidRPr="00FE052A" w:rsidRDefault="000266D1" w:rsidP="000266D1">
            <w:pPr>
              <w:pStyle w:val="TableText0"/>
              <w:keepNext w:val="0"/>
            </w:pPr>
          </w:p>
        </w:tc>
        <w:tc>
          <w:tcPr>
            <w:tcW w:w="3402" w:type="dxa"/>
            <w:shd w:val="clear" w:color="auto" w:fill="FFCC99"/>
          </w:tcPr>
          <w:p w14:paraId="15B81422" w14:textId="77777777" w:rsidR="000266D1" w:rsidRPr="00FE052A" w:rsidRDefault="000266D1" w:rsidP="000266D1">
            <w:pPr>
              <w:pStyle w:val="TableText0"/>
              <w:keepNext w:val="0"/>
            </w:pPr>
          </w:p>
        </w:tc>
      </w:tr>
      <w:tr w:rsidR="000266D1" w:rsidRPr="00CE2878" w14:paraId="20D9C87F" w14:textId="77777777" w:rsidTr="004E4C48">
        <w:trPr>
          <w:trHeight w:val="923"/>
        </w:trPr>
        <w:tc>
          <w:tcPr>
            <w:tcW w:w="2376" w:type="dxa"/>
            <w:vMerge w:val="restart"/>
            <w:shd w:val="clear" w:color="auto" w:fill="auto"/>
          </w:tcPr>
          <w:p w14:paraId="77BD2AE8" w14:textId="3E27A9BA" w:rsidR="000266D1" w:rsidRPr="00FE052A" w:rsidRDefault="000266D1" w:rsidP="000266D1">
            <w:pPr>
              <w:pStyle w:val="TableText0"/>
              <w:keepNext w:val="0"/>
              <w:ind w:left="426" w:hanging="426"/>
            </w:pPr>
            <w:r>
              <w:t>7.4</w:t>
            </w:r>
            <w:r>
              <w:tab/>
              <w:t>C</w:t>
            </w:r>
            <w:r w:rsidRPr="00FE052A">
              <w:t xml:space="preserve">onflict between the legislation that is applicable to the response </w:t>
            </w:r>
            <w:r>
              <w:t>(</w:t>
            </w:r>
            <w:r w:rsidRPr="00FE052A">
              <w:t>eg</w:t>
            </w:r>
            <w:r>
              <w:t> </w:t>
            </w:r>
            <w:r w:rsidRPr="00FE052A">
              <w:t>biosecurity legislation</w:t>
            </w:r>
            <w:r>
              <w:t xml:space="preserve">) and </w:t>
            </w:r>
            <w:r w:rsidRPr="00FE052A">
              <w:t>endangered and protected wildlife legislation</w:t>
            </w:r>
          </w:p>
        </w:tc>
        <w:tc>
          <w:tcPr>
            <w:tcW w:w="993" w:type="dxa"/>
            <w:vMerge w:val="restart"/>
            <w:shd w:val="clear" w:color="auto" w:fill="auto"/>
          </w:tcPr>
          <w:p w14:paraId="2F23F04E" w14:textId="77777777" w:rsidR="000266D1" w:rsidRPr="00FE052A" w:rsidRDefault="000266D1" w:rsidP="000266D1">
            <w:pPr>
              <w:pStyle w:val="TableText0"/>
              <w:keepNext w:val="0"/>
            </w:pPr>
          </w:p>
        </w:tc>
        <w:tc>
          <w:tcPr>
            <w:tcW w:w="992" w:type="dxa"/>
            <w:vMerge w:val="restart"/>
            <w:shd w:val="clear" w:color="auto" w:fill="auto"/>
          </w:tcPr>
          <w:p w14:paraId="10C6BB14" w14:textId="77777777" w:rsidR="000266D1" w:rsidRPr="00FE052A" w:rsidRDefault="000266D1" w:rsidP="000266D1">
            <w:pPr>
              <w:pStyle w:val="TableText0"/>
              <w:keepNext w:val="0"/>
            </w:pPr>
          </w:p>
        </w:tc>
        <w:tc>
          <w:tcPr>
            <w:tcW w:w="1701" w:type="dxa"/>
            <w:vMerge w:val="restart"/>
            <w:shd w:val="clear" w:color="auto" w:fill="auto"/>
          </w:tcPr>
          <w:p w14:paraId="3303A078" w14:textId="77777777" w:rsidR="000266D1" w:rsidRPr="00FE052A" w:rsidRDefault="000266D1" w:rsidP="000266D1">
            <w:pPr>
              <w:pStyle w:val="TableText0"/>
              <w:keepNext w:val="0"/>
            </w:pPr>
          </w:p>
        </w:tc>
        <w:tc>
          <w:tcPr>
            <w:tcW w:w="3402" w:type="dxa"/>
            <w:shd w:val="clear" w:color="auto" w:fill="auto"/>
          </w:tcPr>
          <w:p w14:paraId="2D2FE9E5" w14:textId="12A726CE" w:rsidR="000266D1" w:rsidRPr="00FE052A" w:rsidRDefault="000266D1" w:rsidP="000266D1">
            <w:pPr>
              <w:pStyle w:val="TableBullet"/>
            </w:pPr>
            <w:r w:rsidRPr="00FE052A">
              <w:t>Legal advice is always sought before powers are exercised</w:t>
            </w:r>
          </w:p>
          <w:p w14:paraId="222CC8EA" w14:textId="31886555" w:rsidR="000266D1" w:rsidRPr="00FE052A" w:rsidRDefault="000266D1" w:rsidP="000266D1">
            <w:pPr>
              <w:pStyle w:val="TableBullet"/>
            </w:pPr>
            <w:r w:rsidRPr="00FE052A">
              <w:t>Planning to identify legal risks as part of situation analysis</w:t>
            </w:r>
          </w:p>
          <w:p w14:paraId="2B2480DE" w14:textId="57FE9ABF" w:rsidR="000266D1" w:rsidRPr="00FE052A" w:rsidRDefault="000266D1" w:rsidP="000266D1">
            <w:pPr>
              <w:pStyle w:val="TableBullet"/>
            </w:pPr>
            <w:r w:rsidRPr="00FE052A">
              <w:t xml:space="preserve">Time and space are </w:t>
            </w:r>
            <w:r>
              <w:t>adequate</w:t>
            </w:r>
            <w:r w:rsidRPr="00FE052A">
              <w:t xml:space="preserve"> to ensure </w:t>
            </w:r>
            <w:r>
              <w:t xml:space="preserve">that </w:t>
            </w:r>
            <w:r w:rsidRPr="00FE052A">
              <w:t>legal risks are addressed ahead of implementation</w:t>
            </w:r>
          </w:p>
          <w:p w14:paraId="32707F8B" w14:textId="5D837DBB" w:rsidR="000266D1" w:rsidRPr="00FE052A" w:rsidRDefault="000266D1" w:rsidP="000266D1">
            <w:pPr>
              <w:pStyle w:val="TableBullet"/>
            </w:pPr>
            <w:r w:rsidRPr="00FE052A">
              <w:t>Novel and unusual options that allow for legislation requirements are considered for strategy(s) and tactics</w:t>
            </w:r>
          </w:p>
        </w:tc>
      </w:tr>
      <w:tr w:rsidR="000266D1" w:rsidRPr="00CE2878" w14:paraId="694BC76A" w14:textId="77777777" w:rsidTr="004E4C48">
        <w:trPr>
          <w:trHeight w:val="115"/>
        </w:trPr>
        <w:tc>
          <w:tcPr>
            <w:tcW w:w="2376" w:type="dxa"/>
            <w:vMerge/>
            <w:shd w:val="clear" w:color="auto" w:fill="auto"/>
          </w:tcPr>
          <w:p w14:paraId="5DED712C" w14:textId="77777777" w:rsidR="000266D1" w:rsidRPr="00FE052A" w:rsidRDefault="000266D1" w:rsidP="000266D1">
            <w:pPr>
              <w:pStyle w:val="TableText0"/>
              <w:keepNext w:val="0"/>
            </w:pPr>
          </w:p>
        </w:tc>
        <w:tc>
          <w:tcPr>
            <w:tcW w:w="993" w:type="dxa"/>
            <w:vMerge/>
            <w:shd w:val="clear" w:color="auto" w:fill="auto"/>
          </w:tcPr>
          <w:p w14:paraId="791B984C" w14:textId="77777777" w:rsidR="000266D1" w:rsidRPr="00FE052A" w:rsidRDefault="000266D1" w:rsidP="000266D1">
            <w:pPr>
              <w:pStyle w:val="TableText0"/>
              <w:keepNext w:val="0"/>
            </w:pPr>
          </w:p>
        </w:tc>
        <w:tc>
          <w:tcPr>
            <w:tcW w:w="992" w:type="dxa"/>
            <w:vMerge/>
            <w:shd w:val="clear" w:color="auto" w:fill="auto"/>
          </w:tcPr>
          <w:p w14:paraId="32AE8A5B" w14:textId="77777777" w:rsidR="000266D1" w:rsidRPr="00FE052A" w:rsidRDefault="000266D1" w:rsidP="000266D1">
            <w:pPr>
              <w:pStyle w:val="TableText0"/>
              <w:keepNext w:val="0"/>
            </w:pPr>
          </w:p>
        </w:tc>
        <w:tc>
          <w:tcPr>
            <w:tcW w:w="1701" w:type="dxa"/>
            <w:vMerge/>
            <w:shd w:val="clear" w:color="auto" w:fill="auto"/>
          </w:tcPr>
          <w:p w14:paraId="6CFE8A5D" w14:textId="77777777" w:rsidR="000266D1" w:rsidRPr="00FE052A" w:rsidRDefault="000266D1" w:rsidP="000266D1">
            <w:pPr>
              <w:pStyle w:val="TableText0"/>
              <w:keepNext w:val="0"/>
            </w:pPr>
          </w:p>
        </w:tc>
        <w:tc>
          <w:tcPr>
            <w:tcW w:w="3402" w:type="dxa"/>
            <w:shd w:val="clear" w:color="auto" w:fill="FFCC99"/>
          </w:tcPr>
          <w:p w14:paraId="7C0F12A9" w14:textId="77777777" w:rsidR="000266D1" w:rsidRPr="00FE052A" w:rsidRDefault="000266D1" w:rsidP="000266D1">
            <w:pPr>
              <w:pStyle w:val="TableText0"/>
              <w:keepNext w:val="0"/>
            </w:pPr>
          </w:p>
        </w:tc>
      </w:tr>
    </w:tbl>
    <w:p w14:paraId="1B2E2E9D" w14:textId="77777777" w:rsidR="000266D1" w:rsidRPr="00CE2878" w:rsidRDefault="000266D1" w:rsidP="000266D1">
      <w:pPr>
        <w:pStyle w:val="TFAbbrevsSpace"/>
      </w:pPr>
      <w:r w:rsidRPr="00BF6217">
        <w:t>AAR =</w:t>
      </w:r>
      <w:r>
        <w:t xml:space="preserve"> after action review</w:t>
      </w:r>
      <w:r w:rsidRPr="00BF6217">
        <w:t xml:space="preserve">; BIMS = </w:t>
      </w:r>
      <w:r>
        <w:t>Biosecurity Incident Management System</w:t>
      </w:r>
      <w:r w:rsidRPr="00BF6217">
        <w:t xml:space="preserve">; CA = control area; EWD = emergency wildlife disease; IAP = </w:t>
      </w:r>
      <w:r>
        <w:t>Incident Action Plan</w:t>
      </w:r>
      <w:r w:rsidRPr="00BF6217">
        <w:t xml:space="preserve">; ICS = </w:t>
      </w:r>
      <w:r>
        <w:t>Incident Control System</w:t>
      </w:r>
      <w:r w:rsidRPr="00BF6217">
        <w:t>; LCC = Local Control Centre; RA</w:t>
      </w:r>
      <w:r>
        <w:t xml:space="preserve"> = restricted area; SOP = standard operating procedure; WHS = work health and safety; WOG = whole of government</w:t>
      </w:r>
    </w:p>
    <w:p w14:paraId="64448C3F" w14:textId="187B61CD" w:rsidR="000266D1" w:rsidRPr="00A15F4A" w:rsidRDefault="000266D1" w:rsidP="000266D1">
      <w:pPr>
        <w:pStyle w:val="Heading1"/>
      </w:pPr>
      <w:bookmarkStart w:id="126" w:name="_Toc529783801"/>
      <w:bookmarkStart w:id="127" w:name="_Hlk508714861"/>
      <w:r>
        <w:t>Appendix 5</w:t>
      </w:r>
      <w:r>
        <w:tab/>
      </w:r>
      <w:r w:rsidRPr="001C589B">
        <w:t>Communications</w:t>
      </w:r>
      <w:r>
        <w:t>,</w:t>
      </w:r>
      <w:r w:rsidRPr="001C589B">
        <w:t xml:space="preserve"> </w:t>
      </w:r>
      <w:r>
        <w:t xml:space="preserve">Community Engagement and Media </w:t>
      </w:r>
      <w:r w:rsidRPr="001C589B">
        <w:t>Plan template and guidelines</w:t>
      </w:r>
      <w:bookmarkEnd w:id="126"/>
      <w:r>
        <w:t xml:space="preserve"> </w:t>
      </w:r>
    </w:p>
    <w:bookmarkEnd w:id="127"/>
    <w:p w14:paraId="34C526F4" w14:textId="3232FB31" w:rsidR="000266D1" w:rsidRPr="00EE1D97" w:rsidRDefault="000266D1" w:rsidP="000266D1">
      <w:pPr>
        <w:rPr>
          <w:rFonts w:cs="Arial"/>
          <w:b/>
          <w:szCs w:val="24"/>
        </w:rPr>
      </w:pPr>
      <w:r>
        <w:t>Appropriately t</w:t>
      </w:r>
      <w:r w:rsidRPr="00EE1D97">
        <w:t>rained and qualified personnel should transform the template</w:t>
      </w:r>
      <w:r>
        <w:t xml:space="preserve"> into a plan.</w:t>
      </w:r>
    </w:p>
    <w:p w14:paraId="0A741EDC" w14:textId="6EF5DBF6" w:rsidR="000266D1" w:rsidRDefault="000266D1" w:rsidP="000266D1">
      <w:r>
        <w:t xml:space="preserve">A key reference document is the AUSVETPLAN </w:t>
      </w:r>
      <w:r w:rsidRPr="00722234">
        <w:rPr>
          <w:i/>
        </w:rPr>
        <w:t>Biosecurity incident public information manual</w:t>
      </w:r>
      <w:r>
        <w:t xml:space="preserve"> (Parts 1–4).</w:t>
      </w:r>
      <w:r>
        <w:rPr>
          <w:rStyle w:val="FootnoteReference"/>
        </w:rPr>
        <w:footnoteReference w:id="21"/>
      </w:r>
      <w:r>
        <w:t xml:space="preserve"> </w:t>
      </w:r>
    </w:p>
    <w:p w14:paraId="23D08496" w14:textId="175017F8" w:rsidR="000266D1" w:rsidRDefault="000266D1" w:rsidP="000266D1">
      <w:r>
        <w:t>This p</w:t>
      </w:r>
      <w:r w:rsidRPr="00D52744">
        <w:t xml:space="preserve">lan format </w:t>
      </w:r>
      <w:r>
        <w:t>w</w:t>
      </w:r>
      <w:r w:rsidRPr="00D52744">
        <w:t>as developed by NSW Fisheries</w:t>
      </w:r>
      <w:r>
        <w:t>.</w:t>
      </w:r>
    </w:p>
    <w:p w14:paraId="4A6B30DF" w14:textId="1CC8AA9A" w:rsidR="000266D1" w:rsidRPr="0036566C" w:rsidRDefault="000266D1" w:rsidP="000266D1">
      <w:pPr>
        <w:pStyle w:val="Heading3a"/>
      </w:pPr>
      <w:r w:rsidRPr="0036566C">
        <w:t>Cover page</w:t>
      </w:r>
    </w:p>
    <w:p w14:paraId="0D3EC770" w14:textId="77777777" w:rsidR="000266D1" w:rsidRDefault="000266D1" w:rsidP="000266D1">
      <w:pPr>
        <w:pStyle w:val="Bullet"/>
        <w:rPr>
          <w:sz w:val="20"/>
        </w:rPr>
      </w:pPr>
      <w:r w:rsidRPr="009D5E03">
        <w:rPr>
          <w:noProof/>
        </w:rPr>
        <w:t>Agency logo and letterhead</w:t>
      </w:r>
    </w:p>
    <w:p w14:paraId="0C7212ED" w14:textId="77777777" w:rsidR="000266D1" w:rsidRPr="009D5E03" w:rsidRDefault="000266D1" w:rsidP="000266D1">
      <w:pPr>
        <w:pStyle w:val="Bullet"/>
        <w:rPr>
          <w:rFonts w:cs="Arial"/>
        </w:rPr>
      </w:pPr>
      <w:r w:rsidRPr="009D5E03">
        <w:rPr>
          <w:rFonts w:cs="Arial"/>
        </w:rPr>
        <w:t xml:space="preserve">State Coordination Centre </w:t>
      </w:r>
      <w:r>
        <w:rPr>
          <w:rFonts w:cs="Arial"/>
        </w:rPr>
        <w:t>name and location</w:t>
      </w:r>
    </w:p>
    <w:p w14:paraId="0F4CC626" w14:textId="77777777" w:rsidR="000266D1" w:rsidRPr="005958EF" w:rsidRDefault="000266D1" w:rsidP="000266D1">
      <w:pPr>
        <w:pStyle w:val="Bullet"/>
      </w:pPr>
      <w:r w:rsidRPr="009D5E03">
        <w:t>Address and contact details</w:t>
      </w:r>
    </w:p>
    <w:p w14:paraId="533FF7D7" w14:textId="59458D77" w:rsidR="000266D1" w:rsidRPr="0036566C" w:rsidRDefault="000266D1" w:rsidP="000266D1">
      <w:pPr>
        <w:pStyle w:val="Bullet"/>
        <w:rPr>
          <w:sz w:val="22"/>
          <w:szCs w:val="22"/>
        </w:rPr>
      </w:pPr>
      <w:r>
        <w:t xml:space="preserve">Response title </w:t>
      </w:r>
      <w:r w:rsidRPr="00D41D07">
        <w:t>hazard</w:t>
      </w:r>
      <w:r>
        <w:t xml:space="preserve"> or </w:t>
      </w:r>
      <w:r w:rsidRPr="00D41D07">
        <w:t>incident name</w:t>
      </w:r>
    </w:p>
    <w:p w14:paraId="5813CE38" w14:textId="77777777" w:rsidR="000266D1" w:rsidRPr="006819DA" w:rsidRDefault="000266D1" w:rsidP="000266D1">
      <w:pPr>
        <w:pStyle w:val="Heading3a"/>
      </w:pPr>
      <w:r w:rsidRPr="006819DA">
        <w:t>Project description</w:t>
      </w:r>
    </w:p>
    <w:p w14:paraId="0ADB0F64" w14:textId="77777777" w:rsidR="000266D1" w:rsidRDefault="000266D1" w:rsidP="000266D1">
      <w:pPr>
        <w:rPr>
          <w:rStyle w:val="Emphasis"/>
          <w:rFonts w:cstheme="minorHAnsi"/>
          <w:i w:val="0"/>
          <w:lang w:val="en"/>
        </w:rPr>
      </w:pPr>
      <w:r w:rsidRPr="00577860">
        <w:rPr>
          <w:rStyle w:val="Emphasis"/>
          <w:rFonts w:cstheme="minorHAnsi"/>
          <w:i w:val="0"/>
          <w:lang w:val="en"/>
        </w:rPr>
        <w:t>Background information</w:t>
      </w:r>
      <w:r>
        <w:rPr>
          <w:rStyle w:val="Emphasis"/>
          <w:rFonts w:cstheme="minorHAnsi"/>
          <w:i w:val="0"/>
          <w:lang w:val="en"/>
        </w:rPr>
        <w:t>,</w:t>
      </w:r>
      <w:r w:rsidRPr="00577860">
        <w:rPr>
          <w:rStyle w:val="Emphasis"/>
          <w:rFonts w:cstheme="minorHAnsi"/>
          <w:i w:val="0"/>
          <w:lang w:val="en"/>
        </w:rPr>
        <w:t xml:space="preserve"> including</w:t>
      </w:r>
      <w:r>
        <w:rPr>
          <w:rStyle w:val="Emphasis"/>
          <w:rFonts w:cstheme="minorHAnsi"/>
          <w:i w:val="0"/>
          <w:lang w:val="en"/>
        </w:rPr>
        <w:t xml:space="preserve"> current</w:t>
      </w:r>
      <w:r w:rsidRPr="00577860">
        <w:rPr>
          <w:rStyle w:val="Emphasis"/>
          <w:rFonts w:cstheme="minorHAnsi"/>
          <w:i w:val="0"/>
          <w:lang w:val="en"/>
        </w:rPr>
        <w:t xml:space="preserve"> situation</w:t>
      </w:r>
      <w:r>
        <w:rPr>
          <w:rStyle w:val="Emphasis"/>
          <w:rFonts w:cstheme="minorHAnsi"/>
          <w:i w:val="0"/>
          <w:lang w:val="en"/>
        </w:rPr>
        <w:t xml:space="preserve"> or situation update</w:t>
      </w:r>
    </w:p>
    <w:p w14:paraId="02349FC7" w14:textId="77777777" w:rsidR="000266D1" w:rsidRPr="00577860" w:rsidRDefault="000266D1" w:rsidP="000266D1">
      <w:pPr>
        <w:pStyle w:val="Heading3a"/>
      </w:pPr>
      <w:r w:rsidRPr="00577860">
        <w:t>Objectives</w:t>
      </w:r>
    </w:p>
    <w:p w14:paraId="37E24B8B" w14:textId="5C50FEEC" w:rsidR="000266D1" w:rsidRPr="00577860" w:rsidRDefault="000266D1" w:rsidP="000266D1">
      <w:pPr>
        <w:pStyle w:val="Heading4"/>
      </w:pPr>
      <w:r w:rsidRPr="00577860">
        <w:t xml:space="preserve">Communication </w:t>
      </w:r>
      <w:r>
        <w:t>a</w:t>
      </w:r>
      <w:r w:rsidRPr="00577860">
        <w:t>im</w:t>
      </w:r>
    </w:p>
    <w:p w14:paraId="7F78DA74" w14:textId="77777777" w:rsidR="000266D1" w:rsidRPr="00577860" w:rsidRDefault="000266D1" w:rsidP="000266D1">
      <w:r w:rsidRPr="00577860">
        <w:t>Support overall control and containment aim</w:t>
      </w:r>
      <w:r>
        <w:t xml:space="preserve"> and o</w:t>
      </w:r>
      <w:r w:rsidRPr="00577860">
        <w:t>bjectives</w:t>
      </w:r>
    </w:p>
    <w:p w14:paraId="5A618581" w14:textId="2A5084C5" w:rsidR="000266D1" w:rsidRPr="00577860" w:rsidRDefault="000266D1" w:rsidP="000266D1">
      <w:pPr>
        <w:pStyle w:val="Heading4"/>
      </w:pPr>
      <w:r w:rsidRPr="00577860">
        <w:t xml:space="preserve">Communication </w:t>
      </w:r>
      <w:r>
        <w:t>o</w:t>
      </w:r>
      <w:r w:rsidRPr="00577860">
        <w:t>bjectives</w:t>
      </w:r>
    </w:p>
    <w:p w14:paraId="6A4B9F52" w14:textId="6E0235A8" w:rsidR="000266D1" w:rsidRPr="00577860" w:rsidRDefault="000266D1" w:rsidP="000266D1">
      <w:r w:rsidRPr="00577860">
        <w:t>3</w:t>
      </w:r>
      <w:r>
        <w:t>–</w:t>
      </w:r>
      <w:r w:rsidRPr="00577860">
        <w:t>5</w:t>
      </w:r>
      <w:r>
        <w:t xml:space="preserve"> points</w:t>
      </w:r>
    </w:p>
    <w:p w14:paraId="722BF77C" w14:textId="77777777" w:rsidR="000266D1" w:rsidRPr="00577860" w:rsidRDefault="000266D1" w:rsidP="000266D1">
      <w:pPr>
        <w:pStyle w:val="Heading3a"/>
      </w:pPr>
      <w:r w:rsidRPr="00577860">
        <w:t>Strategy</w:t>
      </w:r>
    </w:p>
    <w:p w14:paraId="1BC24310" w14:textId="2CA19B03" w:rsidR="000266D1" w:rsidRPr="00577860" w:rsidRDefault="000266D1" w:rsidP="000266D1">
      <w:r>
        <w:t>Focus of i</w:t>
      </w:r>
      <w:r w:rsidRPr="00577860">
        <w:t xml:space="preserve">nitial awareness program </w:t>
      </w:r>
    </w:p>
    <w:p w14:paraId="06938FC3" w14:textId="77777777" w:rsidR="000266D1" w:rsidRPr="00577860" w:rsidRDefault="000266D1" w:rsidP="000266D1">
      <w:r w:rsidRPr="00577860">
        <w:t xml:space="preserve">Communications and community engagement supporting control and containment operations </w:t>
      </w:r>
    </w:p>
    <w:p w14:paraId="65FEE23C" w14:textId="77777777" w:rsidR="000266D1" w:rsidRPr="00577860" w:rsidRDefault="000266D1" w:rsidP="000266D1">
      <w:r w:rsidRPr="00577860">
        <w:t>Communications dissemination</w:t>
      </w:r>
    </w:p>
    <w:p w14:paraId="7E3A130D" w14:textId="77777777" w:rsidR="000266D1" w:rsidRPr="0088000D" w:rsidRDefault="000266D1" w:rsidP="000266D1">
      <w:r w:rsidRPr="00577860">
        <w:t xml:space="preserve">Broader awareness and surveillance program </w:t>
      </w:r>
    </w:p>
    <w:p w14:paraId="14F9D236" w14:textId="77777777" w:rsidR="000266D1" w:rsidRPr="00577860" w:rsidRDefault="000266D1" w:rsidP="000266D1">
      <w:pPr>
        <w:pStyle w:val="Heading3a"/>
      </w:pPr>
      <w:r w:rsidRPr="00577860">
        <w:t>Target audiences and stakeholders</w:t>
      </w:r>
    </w:p>
    <w:p w14:paraId="4F021817" w14:textId="4AE0AD13" w:rsidR="000266D1" w:rsidRDefault="000266D1" w:rsidP="000266D1">
      <w:r w:rsidRPr="00577860">
        <w:t>Stakeholder analysis summary</w:t>
      </w:r>
    </w:p>
    <w:p w14:paraId="285C86DF" w14:textId="249EF20D" w:rsidR="00EA3F63" w:rsidRPr="00577860" w:rsidRDefault="00EA3F63" w:rsidP="00EA3F63">
      <w:pPr>
        <w:pStyle w:val="TableName"/>
      </w:pPr>
      <w:bookmarkStart w:id="128" w:name="_Toc527712886"/>
      <w:r>
        <w:t>Table A5.1</w:t>
      </w:r>
      <w:r>
        <w:tab/>
      </w:r>
      <w:r w:rsidRPr="00577860">
        <w:t>Stakeholder analysis summary</w:t>
      </w:r>
      <w:bookmarkEnd w:id="1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1520"/>
        <w:gridCol w:w="2365"/>
        <w:gridCol w:w="2373"/>
        <w:gridCol w:w="2758"/>
      </w:tblGrid>
      <w:tr w:rsidR="000266D1" w:rsidRPr="00577860" w14:paraId="4811907B" w14:textId="77777777" w:rsidTr="000266D1">
        <w:trPr>
          <w:cantSplit/>
          <w:tblHeader/>
        </w:trPr>
        <w:tc>
          <w:tcPr>
            <w:tcW w:w="1520" w:type="dxa"/>
            <w:shd w:val="clear" w:color="auto" w:fill="auto"/>
          </w:tcPr>
          <w:p w14:paraId="1E630638" w14:textId="77777777" w:rsidR="000266D1" w:rsidRPr="00577860" w:rsidRDefault="000266D1" w:rsidP="000266D1">
            <w:pPr>
              <w:pStyle w:val="TableHeading"/>
            </w:pPr>
            <w:r w:rsidRPr="00577860">
              <w:t>Audience</w:t>
            </w:r>
          </w:p>
        </w:tc>
        <w:tc>
          <w:tcPr>
            <w:tcW w:w="2365" w:type="dxa"/>
            <w:shd w:val="clear" w:color="auto" w:fill="auto"/>
          </w:tcPr>
          <w:p w14:paraId="57F26058" w14:textId="77777777" w:rsidR="000266D1" w:rsidRPr="00577860" w:rsidRDefault="000266D1" w:rsidP="000266D1">
            <w:pPr>
              <w:pStyle w:val="TableHeading"/>
            </w:pPr>
            <w:r w:rsidRPr="00577860">
              <w:t>Potential issue</w:t>
            </w:r>
          </w:p>
        </w:tc>
        <w:tc>
          <w:tcPr>
            <w:tcW w:w="2373" w:type="dxa"/>
            <w:shd w:val="clear" w:color="auto" w:fill="auto"/>
          </w:tcPr>
          <w:p w14:paraId="0866ED2F" w14:textId="77777777" w:rsidR="000266D1" w:rsidRPr="00577860" w:rsidRDefault="000266D1" w:rsidP="000266D1">
            <w:pPr>
              <w:pStyle w:val="TableHeading"/>
            </w:pPr>
            <w:r w:rsidRPr="00577860">
              <w:t>Communication channels</w:t>
            </w:r>
          </w:p>
        </w:tc>
        <w:tc>
          <w:tcPr>
            <w:tcW w:w="2758" w:type="dxa"/>
            <w:shd w:val="clear" w:color="auto" w:fill="auto"/>
          </w:tcPr>
          <w:p w14:paraId="6FA5D60C" w14:textId="4EC49C01" w:rsidR="000266D1" w:rsidRPr="00577860" w:rsidRDefault="000266D1" w:rsidP="000266D1">
            <w:pPr>
              <w:pStyle w:val="TableHeading"/>
            </w:pPr>
            <w:r w:rsidRPr="00577860">
              <w:t xml:space="preserve">Comments </w:t>
            </w:r>
            <w:r>
              <w:t>and</w:t>
            </w:r>
            <w:r w:rsidRPr="00577860">
              <w:t xml:space="preserve"> issues</w:t>
            </w:r>
          </w:p>
        </w:tc>
      </w:tr>
      <w:tr w:rsidR="000266D1" w:rsidRPr="00577860" w14:paraId="0CC9A1EE" w14:textId="77777777" w:rsidTr="000266D1">
        <w:trPr>
          <w:cantSplit/>
        </w:trPr>
        <w:tc>
          <w:tcPr>
            <w:tcW w:w="1520" w:type="dxa"/>
            <w:shd w:val="clear" w:color="auto" w:fill="auto"/>
          </w:tcPr>
          <w:p w14:paraId="64E09DC4" w14:textId="77777777" w:rsidR="000266D1" w:rsidRPr="00577860" w:rsidRDefault="000266D1" w:rsidP="000266D1">
            <w:pPr>
              <w:pStyle w:val="Tabletext"/>
              <w:jc w:val="both"/>
              <w:rPr>
                <w:rFonts w:asciiTheme="minorHAnsi" w:hAnsiTheme="minorHAnsi" w:cstheme="minorHAnsi"/>
                <w:sz w:val="20"/>
                <w:szCs w:val="20"/>
              </w:rPr>
            </w:pPr>
          </w:p>
        </w:tc>
        <w:tc>
          <w:tcPr>
            <w:tcW w:w="2365" w:type="dxa"/>
            <w:shd w:val="clear" w:color="auto" w:fill="auto"/>
          </w:tcPr>
          <w:p w14:paraId="1811554D" w14:textId="77777777" w:rsidR="000266D1" w:rsidRPr="00577860" w:rsidRDefault="000266D1" w:rsidP="000266D1">
            <w:pPr>
              <w:pStyle w:val="Tabletext"/>
              <w:jc w:val="both"/>
              <w:rPr>
                <w:rFonts w:asciiTheme="minorHAnsi" w:hAnsiTheme="minorHAnsi" w:cstheme="minorHAnsi"/>
                <w:sz w:val="20"/>
                <w:szCs w:val="20"/>
              </w:rPr>
            </w:pPr>
          </w:p>
        </w:tc>
        <w:tc>
          <w:tcPr>
            <w:tcW w:w="2373" w:type="dxa"/>
            <w:shd w:val="clear" w:color="auto" w:fill="auto"/>
          </w:tcPr>
          <w:p w14:paraId="6C02306E" w14:textId="77777777" w:rsidR="000266D1" w:rsidRPr="00577860" w:rsidRDefault="000266D1" w:rsidP="000266D1">
            <w:pPr>
              <w:pStyle w:val="Tabletext"/>
              <w:jc w:val="both"/>
              <w:rPr>
                <w:rFonts w:asciiTheme="minorHAnsi" w:hAnsiTheme="minorHAnsi" w:cstheme="minorHAnsi"/>
                <w:sz w:val="20"/>
                <w:szCs w:val="20"/>
              </w:rPr>
            </w:pPr>
          </w:p>
        </w:tc>
        <w:tc>
          <w:tcPr>
            <w:tcW w:w="2758" w:type="dxa"/>
            <w:shd w:val="clear" w:color="auto" w:fill="auto"/>
          </w:tcPr>
          <w:p w14:paraId="2B08D46A" w14:textId="77777777" w:rsidR="000266D1" w:rsidRPr="00577860" w:rsidRDefault="000266D1" w:rsidP="000266D1">
            <w:pPr>
              <w:pStyle w:val="Tabletext"/>
              <w:jc w:val="both"/>
              <w:rPr>
                <w:rFonts w:asciiTheme="minorHAnsi" w:hAnsiTheme="minorHAnsi" w:cstheme="minorHAnsi"/>
                <w:sz w:val="20"/>
                <w:szCs w:val="20"/>
              </w:rPr>
            </w:pPr>
          </w:p>
        </w:tc>
      </w:tr>
      <w:tr w:rsidR="000266D1" w:rsidRPr="00577860" w14:paraId="60B44762" w14:textId="77777777" w:rsidTr="000266D1">
        <w:trPr>
          <w:cantSplit/>
        </w:trPr>
        <w:tc>
          <w:tcPr>
            <w:tcW w:w="1520" w:type="dxa"/>
            <w:shd w:val="clear" w:color="auto" w:fill="auto"/>
          </w:tcPr>
          <w:p w14:paraId="2E55DC83" w14:textId="77777777" w:rsidR="000266D1" w:rsidRPr="00577860" w:rsidRDefault="000266D1" w:rsidP="000266D1">
            <w:pPr>
              <w:pStyle w:val="Tabletext"/>
              <w:jc w:val="both"/>
              <w:rPr>
                <w:rFonts w:asciiTheme="minorHAnsi" w:hAnsiTheme="minorHAnsi" w:cstheme="minorHAnsi"/>
                <w:sz w:val="20"/>
                <w:szCs w:val="20"/>
              </w:rPr>
            </w:pPr>
          </w:p>
        </w:tc>
        <w:tc>
          <w:tcPr>
            <w:tcW w:w="2365" w:type="dxa"/>
            <w:shd w:val="clear" w:color="auto" w:fill="auto"/>
          </w:tcPr>
          <w:p w14:paraId="2EF95825" w14:textId="77777777" w:rsidR="000266D1" w:rsidRPr="00577860" w:rsidRDefault="000266D1" w:rsidP="000266D1">
            <w:pPr>
              <w:pStyle w:val="Tabletext"/>
              <w:jc w:val="both"/>
              <w:rPr>
                <w:rFonts w:asciiTheme="minorHAnsi" w:hAnsiTheme="minorHAnsi" w:cstheme="minorHAnsi"/>
                <w:sz w:val="20"/>
                <w:szCs w:val="20"/>
              </w:rPr>
            </w:pPr>
          </w:p>
        </w:tc>
        <w:tc>
          <w:tcPr>
            <w:tcW w:w="2373" w:type="dxa"/>
            <w:shd w:val="clear" w:color="auto" w:fill="auto"/>
          </w:tcPr>
          <w:p w14:paraId="2EB75304" w14:textId="77777777" w:rsidR="000266D1" w:rsidRPr="00577860" w:rsidRDefault="000266D1" w:rsidP="000266D1">
            <w:pPr>
              <w:pStyle w:val="Tabletext"/>
              <w:jc w:val="both"/>
              <w:rPr>
                <w:rFonts w:asciiTheme="minorHAnsi" w:hAnsiTheme="minorHAnsi" w:cstheme="minorHAnsi"/>
                <w:sz w:val="20"/>
                <w:szCs w:val="20"/>
              </w:rPr>
            </w:pPr>
          </w:p>
        </w:tc>
        <w:tc>
          <w:tcPr>
            <w:tcW w:w="2758" w:type="dxa"/>
            <w:shd w:val="clear" w:color="auto" w:fill="auto"/>
          </w:tcPr>
          <w:p w14:paraId="49F8968C" w14:textId="77777777" w:rsidR="000266D1" w:rsidRPr="00577860" w:rsidRDefault="000266D1" w:rsidP="000266D1">
            <w:pPr>
              <w:pStyle w:val="Tabletext"/>
              <w:jc w:val="both"/>
              <w:rPr>
                <w:rFonts w:asciiTheme="minorHAnsi" w:hAnsiTheme="minorHAnsi" w:cstheme="minorHAnsi"/>
                <w:sz w:val="20"/>
                <w:szCs w:val="20"/>
              </w:rPr>
            </w:pPr>
          </w:p>
        </w:tc>
      </w:tr>
      <w:tr w:rsidR="000266D1" w:rsidRPr="00577860" w14:paraId="456081D9" w14:textId="77777777" w:rsidTr="000266D1">
        <w:trPr>
          <w:cantSplit/>
        </w:trPr>
        <w:tc>
          <w:tcPr>
            <w:tcW w:w="1520" w:type="dxa"/>
            <w:shd w:val="clear" w:color="auto" w:fill="auto"/>
          </w:tcPr>
          <w:p w14:paraId="7F236239" w14:textId="77777777" w:rsidR="000266D1" w:rsidRPr="00577860" w:rsidRDefault="000266D1" w:rsidP="000266D1">
            <w:pPr>
              <w:pStyle w:val="Tabletext"/>
              <w:jc w:val="both"/>
              <w:rPr>
                <w:rFonts w:asciiTheme="minorHAnsi" w:hAnsiTheme="minorHAnsi" w:cstheme="minorHAnsi"/>
                <w:sz w:val="20"/>
                <w:szCs w:val="20"/>
              </w:rPr>
            </w:pPr>
          </w:p>
        </w:tc>
        <w:tc>
          <w:tcPr>
            <w:tcW w:w="2365" w:type="dxa"/>
            <w:shd w:val="clear" w:color="auto" w:fill="auto"/>
          </w:tcPr>
          <w:p w14:paraId="0B7C2CEE" w14:textId="77777777" w:rsidR="000266D1" w:rsidRPr="00577860" w:rsidRDefault="000266D1" w:rsidP="000266D1">
            <w:pPr>
              <w:pStyle w:val="Tabletext"/>
              <w:jc w:val="both"/>
              <w:rPr>
                <w:rFonts w:asciiTheme="minorHAnsi" w:hAnsiTheme="minorHAnsi" w:cstheme="minorHAnsi"/>
                <w:sz w:val="20"/>
                <w:szCs w:val="20"/>
              </w:rPr>
            </w:pPr>
          </w:p>
        </w:tc>
        <w:tc>
          <w:tcPr>
            <w:tcW w:w="2373" w:type="dxa"/>
            <w:shd w:val="clear" w:color="auto" w:fill="auto"/>
          </w:tcPr>
          <w:p w14:paraId="35D4627B" w14:textId="77777777" w:rsidR="000266D1" w:rsidRPr="00577860" w:rsidRDefault="000266D1" w:rsidP="000266D1">
            <w:pPr>
              <w:pStyle w:val="Tabletext"/>
              <w:jc w:val="both"/>
              <w:rPr>
                <w:rFonts w:asciiTheme="minorHAnsi" w:hAnsiTheme="minorHAnsi" w:cstheme="minorHAnsi"/>
                <w:sz w:val="20"/>
                <w:szCs w:val="20"/>
              </w:rPr>
            </w:pPr>
          </w:p>
        </w:tc>
        <w:tc>
          <w:tcPr>
            <w:tcW w:w="2758" w:type="dxa"/>
            <w:shd w:val="clear" w:color="auto" w:fill="auto"/>
          </w:tcPr>
          <w:p w14:paraId="2FD2CF1E" w14:textId="77777777" w:rsidR="000266D1" w:rsidRPr="00577860" w:rsidRDefault="000266D1" w:rsidP="000266D1">
            <w:pPr>
              <w:pStyle w:val="Tabletext"/>
              <w:jc w:val="both"/>
              <w:rPr>
                <w:rFonts w:asciiTheme="minorHAnsi" w:hAnsiTheme="minorHAnsi" w:cstheme="minorHAnsi"/>
                <w:sz w:val="20"/>
                <w:szCs w:val="20"/>
              </w:rPr>
            </w:pPr>
          </w:p>
        </w:tc>
      </w:tr>
      <w:tr w:rsidR="000266D1" w:rsidRPr="00577860" w14:paraId="21179F67" w14:textId="77777777" w:rsidTr="000266D1">
        <w:trPr>
          <w:cantSplit/>
        </w:trPr>
        <w:tc>
          <w:tcPr>
            <w:tcW w:w="1520" w:type="dxa"/>
            <w:shd w:val="clear" w:color="auto" w:fill="auto"/>
          </w:tcPr>
          <w:p w14:paraId="22623468" w14:textId="77777777" w:rsidR="000266D1" w:rsidRPr="00577860" w:rsidRDefault="000266D1" w:rsidP="000266D1">
            <w:pPr>
              <w:pStyle w:val="Tabletext"/>
              <w:jc w:val="both"/>
              <w:rPr>
                <w:rFonts w:asciiTheme="minorHAnsi" w:hAnsiTheme="minorHAnsi" w:cstheme="minorHAnsi"/>
                <w:sz w:val="20"/>
                <w:szCs w:val="20"/>
              </w:rPr>
            </w:pPr>
          </w:p>
        </w:tc>
        <w:tc>
          <w:tcPr>
            <w:tcW w:w="2365" w:type="dxa"/>
            <w:shd w:val="clear" w:color="auto" w:fill="auto"/>
          </w:tcPr>
          <w:p w14:paraId="2C8133B4" w14:textId="77777777" w:rsidR="000266D1" w:rsidRPr="00577860" w:rsidRDefault="000266D1" w:rsidP="000266D1">
            <w:pPr>
              <w:pStyle w:val="Tabletext"/>
              <w:jc w:val="both"/>
              <w:rPr>
                <w:rFonts w:asciiTheme="minorHAnsi" w:hAnsiTheme="minorHAnsi" w:cstheme="minorHAnsi"/>
                <w:sz w:val="20"/>
                <w:szCs w:val="20"/>
              </w:rPr>
            </w:pPr>
          </w:p>
        </w:tc>
        <w:tc>
          <w:tcPr>
            <w:tcW w:w="2373" w:type="dxa"/>
            <w:shd w:val="clear" w:color="auto" w:fill="auto"/>
          </w:tcPr>
          <w:p w14:paraId="73A94386" w14:textId="77777777" w:rsidR="000266D1" w:rsidRPr="00577860" w:rsidRDefault="000266D1" w:rsidP="000266D1">
            <w:pPr>
              <w:pStyle w:val="Tabletext"/>
              <w:jc w:val="both"/>
              <w:rPr>
                <w:rFonts w:asciiTheme="minorHAnsi" w:hAnsiTheme="minorHAnsi" w:cstheme="minorHAnsi"/>
                <w:sz w:val="20"/>
                <w:szCs w:val="20"/>
              </w:rPr>
            </w:pPr>
          </w:p>
        </w:tc>
        <w:tc>
          <w:tcPr>
            <w:tcW w:w="2758" w:type="dxa"/>
            <w:shd w:val="clear" w:color="auto" w:fill="auto"/>
          </w:tcPr>
          <w:p w14:paraId="3F90624B" w14:textId="77777777" w:rsidR="000266D1" w:rsidRPr="00577860" w:rsidRDefault="000266D1" w:rsidP="000266D1">
            <w:pPr>
              <w:pStyle w:val="Tabletext"/>
              <w:jc w:val="both"/>
              <w:rPr>
                <w:rFonts w:asciiTheme="minorHAnsi" w:hAnsiTheme="minorHAnsi" w:cstheme="minorHAnsi"/>
                <w:sz w:val="20"/>
                <w:szCs w:val="20"/>
              </w:rPr>
            </w:pPr>
          </w:p>
        </w:tc>
      </w:tr>
      <w:tr w:rsidR="000266D1" w:rsidRPr="00577860" w14:paraId="1B056088" w14:textId="77777777" w:rsidTr="000266D1">
        <w:trPr>
          <w:cantSplit/>
        </w:trPr>
        <w:tc>
          <w:tcPr>
            <w:tcW w:w="1520" w:type="dxa"/>
            <w:shd w:val="clear" w:color="auto" w:fill="auto"/>
          </w:tcPr>
          <w:p w14:paraId="224B0930" w14:textId="77777777" w:rsidR="000266D1" w:rsidRPr="00577860" w:rsidRDefault="000266D1" w:rsidP="000266D1">
            <w:pPr>
              <w:pStyle w:val="Tabletext"/>
              <w:jc w:val="both"/>
              <w:rPr>
                <w:rFonts w:asciiTheme="minorHAnsi" w:hAnsiTheme="minorHAnsi" w:cstheme="minorHAnsi"/>
                <w:sz w:val="20"/>
                <w:szCs w:val="20"/>
              </w:rPr>
            </w:pPr>
          </w:p>
        </w:tc>
        <w:tc>
          <w:tcPr>
            <w:tcW w:w="2365" w:type="dxa"/>
            <w:shd w:val="clear" w:color="auto" w:fill="auto"/>
          </w:tcPr>
          <w:p w14:paraId="33AC36F4" w14:textId="77777777" w:rsidR="000266D1" w:rsidRPr="00577860" w:rsidRDefault="000266D1" w:rsidP="000266D1">
            <w:pPr>
              <w:pStyle w:val="Tabletext"/>
              <w:jc w:val="both"/>
              <w:rPr>
                <w:rFonts w:asciiTheme="minorHAnsi" w:hAnsiTheme="minorHAnsi" w:cstheme="minorHAnsi"/>
                <w:sz w:val="20"/>
                <w:szCs w:val="20"/>
              </w:rPr>
            </w:pPr>
          </w:p>
        </w:tc>
        <w:tc>
          <w:tcPr>
            <w:tcW w:w="2373" w:type="dxa"/>
            <w:shd w:val="clear" w:color="auto" w:fill="auto"/>
          </w:tcPr>
          <w:p w14:paraId="70C4F12D" w14:textId="77777777" w:rsidR="000266D1" w:rsidRPr="00577860" w:rsidRDefault="000266D1" w:rsidP="000266D1">
            <w:pPr>
              <w:pStyle w:val="Tabletext"/>
              <w:jc w:val="both"/>
              <w:rPr>
                <w:rFonts w:asciiTheme="minorHAnsi" w:hAnsiTheme="minorHAnsi" w:cstheme="minorHAnsi"/>
                <w:sz w:val="20"/>
                <w:szCs w:val="20"/>
              </w:rPr>
            </w:pPr>
          </w:p>
        </w:tc>
        <w:tc>
          <w:tcPr>
            <w:tcW w:w="2758" w:type="dxa"/>
            <w:shd w:val="clear" w:color="auto" w:fill="auto"/>
          </w:tcPr>
          <w:p w14:paraId="4E653093" w14:textId="77777777" w:rsidR="000266D1" w:rsidRPr="00577860" w:rsidRDefault="000266D1" w:rsidP="000266D1">
            <w:pPr>
              <w:pStyle w:val="Tabletext"/>
              <w:jc w:val="both"/>
              <w:rPr>
                <w:rFonts w:asciiTheme="minorHAnsi" w:hAnsiTheme="minorHAnsi" w:cstheme="minorHAnsi"/>
                <w:sz w:val="20"/>
                <w:szCs w:val="20"/>
              </w:rPr>
            </w:pPr>
          </w:p>
        </w:tc>
      </w:tr>
      <w:tr w:rsidR="000266D1" w:rsidRPr="00577860" w14:paraId="70930450" w14:textId="77777777" w:rsidTr="000266D1">
        <w:trPr>
          <w:cantSplit/>
        </w:trPr>
        <w:tc>
          <w:tcPr>
            <w:tcW w:w="1520" w:type="dxa"/>
            <w:shd w:val="clear" w:color="auto" w:fill="auto"/>
          </w:tcPr>
          <w:p w14:paraId="3854EED0" w14:textId="77777777" w:rsidR="000266D1" w:rsidRPr="00577860" w:rsidRDefault="000266D1" w:rsidP="000266D1">
            <w:pPr>
              <w:pStyle w:val="Tabletext"/>
              <w:jc w:val="both"/>
              <w:rPr>
                <w:rFonts w:asciiTheme="minorHAnsi" w:hAnsiTheme="minorHAnsi" w:cstheme="minorHAnsi"/>
                <w:sz w:val="20"/>
                <w:szCs w:val="20"/>
              </w:rPr>
            </w:pPr>
          </w:p>
        </w:tc>
        <w:tc>
          <w:tcPr>
            <w:tcW w:w="2365" w:type="dxa"/>
            <w:shd w:val="clear" w:color="auto" w:fill="auto"/>
          </w:tcPr>
          <w:p w14:paraId="2D5A7E40" w14:textId="77777777" w:rsidR="000266D1" w:rsidRPr="00577860" w:rsidRDefault="000266D1" w:rsidP="000266D1">
            <w:pPr>
              <w:pStyle w:val="Tabletext"/>
              <w:jc w:val="both"/>
              <w:rPr>
                <w:rFonts w:asciiTheme="minorHAnsi" w:hAnsiTheme="minorHAnsi" w:cstheme="minorHAnsi"/>
                <w:sz w:val="20"/>
                <w:szCs w:val="20"/>
              </w:rPr>
            </w:pPr>
          </w:p>
        </w:tc>
        <w:tc>
          <w:tcPr>
            <w:tcW w:w="2373" w:type="dxa"/>
            <w:shd w:val="clear" w:color="auto" w:fill="auto"/>
          </w:tcPr>
          <w:p w14:paraId="03AA2B2E" w14:textId="77777777" w:rsidR="000266D1" w:rsidRPr="00577860" w:rsidRDefault="000266D1" w:rsidP="000266D1">
            <w:pPr>
              <w:pStyle w:val="Tabletext"/>
              <w:jc w:val="both"/>
              <w:rPr>
                <w:rFonts w:asciiTheme="minorHAnsi" w:hAnsiTheme="minorHAnsi" w:cstheme="minorHAnsi"/>
                <w:sz w:val="20"/>
                <w:szCs w:val="20"/>
              </w:rPr>
            </w:pPr>
          </w:p>
        </w:tc>
        <w:tc>
          <w:tcPr>
            <w:tcW w:w="2758" w:type="dxa"/>
            <w:shd w:val="clear" w:color="auto" w:fill="auto"/>
          </w:tcPr>
          <w:p w14:paraId="32473397" w14:textId="77777777" w:rsidR="000266D1" w:rsidRPr="00577860" w:rsidRDefault="000266D1" w:rsidP="000266D1">
            <w:pPr>
              <w:pStyle w:val="Tabletext"/>
              <w:jc w:val="both"/>
              <w:rPr>
                <w:rFonts w:asciiTheme="minorHAnsi" w:hAnsiTheme="minorHAnsi" w:cstheme="minorHAnsi"/>
                <w:sz w:val="20"/>
                <w:szCs w:val="20"/>
              </w:rPr>
            </w:pPr>
          </w:p>
        </w:tc>
      </w:tr>
    </w:tbl>
    <w:p w14:paraId="531976CF" w14:textId="77777777" w:rsidR="000266D1" w:rsidRDefault="000266D1" w:rsidP="000266D1">
      <w:pPr>
        <w:pStyle w:val="ListParagraph"/>
        <w:ind w:left="360"/>
        <w:rPr>
          <w:rFonts w:cstheme="minorHAnsi"/>
          <w:b/>
          <w:szCs w:val="24"/>
        </w:rPr>
      </w:pPr>
    </w:p>
    <w:p w14:paraId="12EFC5E2" w14:textId="77777777" w:rsidR="000266D1" w:rsidRPr="00577860" w:rsidRDefault="000266D1" w:rsidP="000266D1">
      <w:pPr>
        <w:pStyle w:val="Heading3a"/>
      </w:pPr>
      <w:r w:rsidRPr="00577860">
        <w:t>Key messages</w:t>
      </w:r>
    </w:p>
    <w:p w14:paraId="13872B0C" w14:textId="77777777" w:rsidR="000266D1" w:rsidRPr="00577860" w:rsidRDefault="000266D1" w:rsidP="000266D1">
      <w:r w:rsidRPr="00577860">
        <w:t>Key messages are likely to change throughout the response. The channels listed below are likely to apply in the initial stages of the response only. New key messages are likely to be needed for later stages.</w:t>
      </w:r>
    </w:p>
    <w:p w14:paraId="438B2AD3" w14:textId="402A1AA2" w:rsidR="000266D1" w:rsidRPr="00577860" w:rsidRDefault="000266D1" w:rsidP="000266D1">
      <w:pPr>
        <w:spacing w:after="120"/>
        <w:jc w:val="both"/>
        <w:rPr>
          <w:rFonts w:cstheme="minorHAnsi"/>
        </w:rPr>
      </w:pPr>
      <w:r w:rsidRPr="00577860">
        <w:rPr>
          <w:rFonts w:cstheme="minorHAnsi"/>
        </w:rPr>
        <w:t>5</w:t>
      </w:r>
      <w:r>
        <w:rPr>
          <w:rFonts w:cstheme="minorHAnsi"/>
        </w:rPr>
        <w:t>–</w:t>
      </w:r>
      <w:r w:rsidRPr="00577860">
        <w:rPr>
          <w:rFonts w:cstheme="minorHAnsi"/>
        </w:rPr>
        <w:t>8</w:t>
      </w:r>
      <w:r>
        <w:rPr>
          <w:rFonts w:cstheme="minorHAnsi"/>
        </w:rPr>
        <w:t xml:space="preserve"> points</w:t>
      </w:r>
    </w:p>
    <w:p w14:paraId="4CF6B4B9" w14:textId="2A4C8774" w:rsidR="000266D1" w:rsidRPr="00577860" w:rsidRDefault="000266D1" w:rsidP="000266D1">
      <w:pPr>
        <w:pStyle w:val="Heading3a"/>
      </w:pPr>
      <w:r w:rsidRPr="00577860">
        <w:t xml:space="preserve">Communication </w:t>
      </w:r>
      <w:r>
        <w:t>c</w:t>
      </w:r>
      <w:r w:rsidRPr="00577860">
        <w:t>hannels, mediums and methods to reach target audiences</w:t>
      </w:r>
    </w:p>
    <w:p w14:paraId="2F7FEF68" w14:textId="417262A4" w:rsidR="000266D1" w:rsidRPr="00577860" w:rsidRDefault="000266D1" w:rsidP="000266D1">
      <w:r w:rsidRPr="00577860">
        <w:t xml:space="preserve">Under this plan, a number of channels and methods will be </w:t>
      </w:r>
      <w:r>
        <w:t>used</w:t>
      </w:r>
      <w:r w:rsidRPr="00577860">
        <w:t xml:space="preserve"> to reach particular target groups. Integration of communication tools will be an important factor. Media releases, flyers, brochures, posters and signs are used to create awareness. The awareness products need to link to websites or hard</w:t>
      </w:r>
      <w:r>
        <w:t>-</w:t>
      </w:r>
      <w:r w:rsidRPr="00577860">
        <w:t>copy publications for more detailed information</w:t>
      </w:r>
      <w:r>
        <w:t>,</w:t>
      </w:r>
      <w:r w:rsidRPr="00577860">
        <w:t xml:space="preserve"> or specific advice and instructions. Awareness on its own is unlikely to change behaviour and often needs supporting information, face-to face follow</w:t>
      </w:r>
      <w:r>
        <w:t>-</w:t>
      </w:r>
      <w:r w:rsidRPr="00577860">
        <w:t>up, repetition (in a different form) or collaboration from other authoritative sources.</w:t>
      </w:r>
    </w:p>
    <w:p w14:paraId="5A102639" w14:textId="77777777" w:rsidR="000266D1" w:rsidRPr="00577860" w:rsidRDefault="000266D1" w:rsidP="000266D1">
      <w:pPr>
        <w:pStyle w:val="Heading4"/>
      </w:pPr>
      <w:r w:rsidRPr="00577860">
        <w:t>Multipliers</w:t>
      </w:r>
    </w:p>
    <w:p w14:paraId="38973073" w14:textId="2849945D" w:rsidR="000266D1" w:rsidRPr="00577860" w:rsidRDefault="000266D1" w:rsidP="000266D1">
      <w:r w:rsidRPr="000B5748">
        <w:t xml:space="preserve">Multipliers are people or organisations with the potential to pass messages on to other stakeholders. These are often people with their own networks. </w:t>
      </w:r>
      <w:r>
        <w:t>M</w:t>
      </w:r>
      <w:r w:rsidRPr="000B5748">
        <w:t>ultipliers increase the</w:t>
      </w:r>
      <w:r w:rsidRPr="00577860">
        <w:t xml:space="preserve"> breadth of distribution </w:t>
      </w:r>
      <w:r>
        <w:t>and,</w:t>
      </w:r>
      <w:r w:rsidRPr="00577860">
        <w:t xml:space="preserve"> in doing so, add weight to the communication. The fact that a respected source has passed on or reinforced a message is likely to increase the likelihood that the message will be accepted.</w:t>
      </w:r>
    </w:p>
    <w:p w14:paraId="1B2A7A28" w14:textId="77777777" w:rsidR="000266D1" w:rsidRPr="00577860" w:rsidRDefault="000266D1" w:rsidP="000266D1">
      <w:r w:rsidRPr="00577860">
        <w:t>The tactic adopted in the plan is to proactively supply information and updates to key groups. In most cases, staff</w:t>
      </w:r>
      <w:r>
        <w:t xml:space="preserve"> and </w:t>
      </w:r>
      <w:r w:rsidRPr="00577860">
        <w:t>personnel within the response will be tasked to maintain communication with important stakeholders</w:t>
      </w:r>
      <w:r>
        <w:t>.</w:t>
      </w:r>
    </w:p>
    <w:p w14:paraId="479D03DB" w14:textId="4C1597F0" w:rsidR="000266D1" w:rsidRPr="0088000D" w:rsidRDefault="000266D1" w:rsidP="000266D1">
      <w:r w:rsidRPr="0088000D">
        <w:t>Ongoing contact with partner</w:t>
      </w:r>
      <w:r>
        <w:t xml:space="preserve"> and </w:t>
      </w:r>
      <w:r w:rsidRPr="0088000D">
        <w:t xml:space="preserve">industry associations will be tasked to the </w:t>
      </w:r>
      <w:r>
        <w:t>‘</w:t>
      </w:r>
      <w:r w:rsidRPr="0088000D">
        <w:t>partner</w:t>
      </w:r>
      <w:r>
        <w:t xml:space="preserve"> and </w:t>
      </w:r>
      <w:r w:rsidRPr="0088000D">
        <w:t>industry liaison</w:t>
      </w:r>
      <w:r>
        <w:t>’</w:t>
      </w:r>
      <w:r w:rsidRPr="0088000D">
        <w:t xml:space="preserve"> section within the response framework.</w:t>
      </w:r>
    </w:p>
    <w:p w14:paraId="6DA9D2A8" w14:textId="77777777" w:rsidR="000266D1" w:rsidRPr="00577860" w:rsidRDefault="000266D1" w:rsidP="000266D1">
      <w:r w:rsidRPr="0088000D">
        <w:t>All contact</w:t>
      </w:r>
      <w:r>
        <w:t>s</w:t>
      </w:r>
      <w:r w:rsidRPr="0088000D">
        <w:t xml:space="preserve"> with state</w:t>
      </w:r>
      <w:r>
        <w:t xml:space="preserve">, territory and </w:t>
      </w:r>
      <w:r w:rsidRPr="0088000D">
        <w:t>Australian Government agencies</w:t>
      </w:r>
      <w:r>
        <w:t xml:space="preserve"> are classified as contacts with multipliers.</w:t>
      </w:r>
    </w:p>
    <w:p w14:paraId="270358AA" w14:textId="3018C603" w:rsidR="000266D1" w:rsidRPr="00577860" w:rsidRDefault="000266D1" w:rsidP="000266D1">
      <w:r>
        <w:t>E</w:t>
      </w:r>
      <w:r w:rsidRPr="00577860">
        <w:t>mail update</w:t>
      </w:r>
      <w:r>
        <w:t>s (see below)</w:t>
      </w:r>
      <w:r w:rsidRPr="00577860">
        <w:t xml:space="preserve"> will also be an important medium for keeping stakeholders informed</w:t>
      </w:r>
      <w:r>
        <w:t xml:space="preserve">; </w:t>
      </w:r>
      <w:r w:rsidRPr="00577860">
        <w:t xml:space="preserve">they will be requested to redistribute </w:t>
      </w:r>
      <w:r>
        <w:t>the updates</w:t>
      </w:r>
      <w:r w:rsidRPr="00577860">
        <w:t xml:space="preserve"> within their networks as well.</w:t>
      </w:r>
    </w:p>
    <w:p w14:paraId="2DF475C9" w14:textId="5E7A153C" w:rsidR="00BC2E0B" w:rsidRDefault="00BC2E0B" w:rsidP="000266D1">
      <w:r>
        <w:t>Local press and radio (in targeted infected areas), as well as key stakeholder groups, are important multipliers.</w:t>
      </w:r>
    </w:p>
    <w:p w14:paraId="118006F0" w14:textId="03F375A2" w:rsidR="000266D1" w:rsidRPr="00577860" w:rsidRDefault="000266D1" w:rsidP="000266D1">
      <w:r w:rsidRPr="00577860">
        <w:t xml:space="preserve">All contact is usually through the </w:t>
      </w:r>
      <w:r>
        <w:t>State Coordination Centre</w:t>
      </w:r>
      <w:r w:rsidRPr="00577860">
        <w:t xml:space="preserve"> or a nominated spokesperson. All media enquiries must be referred to the media contact.</w:t>
      </w:r>
    </w:p>
    <w:p w14:paraId="7796DC55" w14:textId="63BCD909" w:rsidR="000266D1" w:rsidRPr="00577860" w:rsidRDefault="000266D1" w:rsidP="000266D1">
      <w:r>
        <w:t xml:space="preserve">Multipliers are </w:t>
      </w:r>
      <w:r w:rsidRPr="00577860">
        <w:t xml:space="preserve">an important awareness medium when there is something new or different to report. It is likely to be difficult to get routine messages published after the initial interest or while there are more interesting stories to report, so the media </w:t>
      </w:r>
      <w:r>
        <w:t xml:space="preserve">should not be relied on </w:t>
      </w:r>
      <w:r w:rsidRPr="00577860">
        <w:t>as the sole awareness medium.</w:t>
      </w:r>
    </w:p>
    <w:p w14:paraId="718F9D17" w14:textId="77777777" w:rsidR="000266D1" w:rsidRPr="00577860" w:rsidRDefault="000266D1" w:rsidP="000266D1">
      <w:pPr>
        <w:pStyle w:val="Heading4"/>
      </w:pPr>
      <w:r w:rsidRPr="00577860">
        <w:t>Website</w:t>
      </w:r>
    </w:p>
    <w:p w14:paraId="2D8A7112" w14:textId="5EDF0E07" w:rsidR="000266D1" w:rsidRPr="00577860" w:rsidRDefault="000266D1" w:rsidP="000266D1">
      <w:r w:rsidRPr="00577860">
        <w:t>Websites are good for providing detailed information and linking stakeholders to reliable sources of supporting data. They are not a good awareness medium. Various awareness tools need to be used to drive people to websites to get the most up-to-date and detailed information.</w:t>
      </w:r>
    </w:p>
    <w:p w14:paraId="332080CD" w14:textId="77777777" w:rsidR="000266D1" w:rsidRPr="00577860" w:rsidRDefault="000266D1" w:rsidP="000266D1">
      <w:r w:rsidRPr="00577860">
        <w:t>A number of different websites will be used for different target groups and purposes.</w:t>
      </w:r>
    </w:p>
    <w:p w14:paraId="00FA1A55" w14:textId="727F042A" w:rsidR="000266D1" w:rsidRPr="00577860" w:rsidRDefault="000266D1" w:rsidP="000266D1">
      <w:r>
        <w:t>E</w:t>
      </w:r>
      <w:r w:rsidRPr="00577860">
        <w:t xml:space="preserve">xisting websites will be linked to the reference primary sites </w:t>
      </w:r>
      <w:r>
        <w:t>(</w:t>
      </w:r>
      <w:r w:rsidRPr="00577860">
        <w:t xml:space="preserve">eg </w:t>
      </w:r>
      <w:hyperlink r:id="rId22" w:history="1">
        <w:r w:rsidRPr="00052AB3">
          <w:t>www.outbreak.gov.au</w:t>
        </w:r>
      </w:hyperlink>
      <w:r w:rsidRPr="00052AB3">
        <w:t>)</w:t>
      </w:r>
      <w:r>
        <w:t>.</w:t>
      </w:r>
    </w:p>
    <w:p w14:paraId="15D0EAE6" w14:textId="77777777" w:rsidR="000266D1" w:rsidRPr="00577860" w:rsidRDefault="000266D1" w:rsidP="000266D1">
      <w:pPr>
        <w:pStyle w:val="Heading4"/>
      </w:pPr>
      <w:r w:rsidRPr="00577860">
        <w:t>Publications</w:t>
      </w:r>
    </w:p>
    <w:p w14:paraId="0AD03FFE" w14:textId="0C8D88F9" w:rsidR="000266D1" w:rsidRPr="00577860" w:rsidRDefault="000266D1" w:rsidP="000266D1">
      <w:r w:rsidRPr="00577860">
        <w:t xml:space="preserve">Publications will be used to create awareness and provide information to all public target groups. Where feasible, publications will be designed to leverage off existing publications. </w:t>
      </w:r>
    </w:p>
    <w:p w14:paraId="7233A85B" w14:textId="04CF0EE5" w:rsidR="000266D1" w:rsidRPr="00577860" w:rsidRDefault="000266D1" w:rsidP="000266D1">
      <w:r w:rsidRPr="00577860">
        <w:t>All publications should link back to one of the primary public websites</w:t>
      </w:r>
      <w:r w:rsidR="00BC2E0B">
        <w:t xml:space="preserve">, such as </w:t>
      </w:r>
      <w:hyperlink r:id="rId23" w:history="1">
        <w:r w:rsidR="00BC2E0B" w:rsidRPr="00052AB3">
          <w:t>www.outbreak.gov.au</w:t>
        </w:r>
      </w:hyperlink>
      <w:r w:rsidRPr="00577860">
        <w:t>. This linkage is an important part of website promotion, which is important for keeping stakeholders up</w:t>
      </w:r>
      <w:r>
        <w:t xml:space="preserve"> </w:t>
      </w:r>
      <w:r w:rsidRPr="00577860">
        <w:t>to</w:t>
      </w:r>
      <w:r>
        <w:t xml:space="preserve"> </w:t>
      </w:r>
      <w:r w:rsidRPr="00577860">
        <w:t>date with the progress of the response.</w:t>
      </w:r>
    </w:p>
    <w:p w14:paraId="42CEB2A4" w14:textId="7FADD005" w:rsidR="000266D1" w:rsidRPr="00577860" w:rsidRDefault="000266D1" w:rsidP="000266D1">
      <w:pPr>
        <w:pStyle w:val="NormalBeforeBullet"/>
      </w:pPr>
      <w:r>
        <w:t>P</w:t>
      </w:r>
      <w:r w:rsidRPr="00577860">
        <w:t xml:space="preserve">ublications </w:t>
      </w:r>
      <w:r>
        <w:t xml:space="preserve">that </w:t>
      </w:r>
      <w:r w:rsidRPr="00577860">
        <w:t>may be produced</w:t>
      </w:r>
      <w:r>
        <w:t xml:space="preserve"> include</w:t>
      </w:r>
      <w:r w:rsidRPr="00577860">
        <w:t>:</w:t>
      </w:r>
    </w:p>
    <w:p w14:paraId="0EA81E50" w14:textId="4A125A82" w:rsidR="000266D1" w:rsidRPr="00577860" w:rsidRDefault="000266D1" w:rsidP="000266D1">
      <w:pPr>
        <w:pStyle w:val="Bullet"/>
      </w:pPr>
      <w:r>
        <w:t>f</w:t>
      </w:r>
      <w:r w:rsidRPr="00577860">
        <w:t>lyers</w:t>
      </w:r>
      <w:r>
        <w:t xml:space="preserve"> and </w:t>
      </w:r>
      <w:r w:rsidRPr="00577860">
        <w:t>factsheets</w:t>
      </w:r>
    </w:p>
    <w:p w14:paraId="629FA9A5" w14:textId="3D270F75" w:rsidR="000266D1" w:rsidRPr="00577860" w:rsidRDefault="000266D1" w:rsidP="000266D1">
      <w:pPr>
        <w:pStyle w:val="Bullet"/>
      </w:pPr>
      <w:r>
        <w:t>i</w:t>
      </w:r>
      <w:r w:rsidRPr="00577860">
        <w:t>dentification card</w:t>
      </w:r>
    </w:p>
    <w:p w14:paraId="223BFCD4" w14:textId="1E88DA5E" w:rsidR="000266D1" w:rsidRPr="00577860" w:rsidRDefault="000266D1" w:rsidP="000266D1">
      <w:pPr>
        <w:pStyle w:val="Bullet"/>
      </w:pPr>
      <w:r>
        <w:t>h</w:t>
      </w:r>
      <w:r w:rsidRPr="00577860">
        <w:t>ygiene guidelines.</w:t>
      </w:r>
    </w:p>
    <w:p w14:paraId="725F1B57" w14:textId="032DF9FB" w:rsidR="000266D1" w:rsidRDefault="000266D1" w:rsidP="000266D1">
      <w:pPr>
        <w:pStyle w:val="BulletLast"/>
      </w:pPr>
      <w:r>
        <w:t>p</w:t>
      </w:r>
      <w:r w:rsidRPr="00577860">
        <w:t>osters</w:t>
      </w:r>
      <w:r>
        <w:t>.</w:t>
      </w:r>
    </w:p>
    <w:p w14:paraId="7AA64287" w14:textId="77777777" w:rsidR="000266D1" w:rsidRPr="00577860" w:rsidRDefault="000266D1" w:rsidP="000266D1">
      <w:pPr>
        <w:pStyle w:val="Heading4"/>
      </w:pPr>
      <w:r w:rsidRPr="00577860">
        <w:t>Signage</w:t>
      </w:r>
    </w:p>
    <w:p w14:paraId="57532FC6" w14:textId="2A0723E9" w:rsidR="000266D1" w:rsidRPr="00577860" w:rsidRDefault="000266D1" w:rsidP="000266D1">
      <w:pPr>
        <w:pStyle w:val="NormalBeforeBullet"/>
      </w:pPr>
      <w:r w:rsidRPr="00577860">
        <w:t xml:space="preserve">Signage will be an important awareness medium for many target audiences. All signs should include a website address for more information. </w:t>
      </w:r>
      <w:r>
        <w:t>T</w:t>
      </w:r>
      <w:r w:rsidRPr="00577860">
        <w:t>ypes of signage are</w:t>
      </w:r>
      <w:r>
        <w:t>:</w:t>
      </w:r>
    </w:p>
    <w:p w14:paraId="2D5CAD00" w14:textId="6EF95844" w:rsidR="000266D1" w:rsidRPr="00577860" w:rsidRDefault="000266D1" w:rsidP="000266D1">
      <w:pPr>
        <w:pStyle w:val="Bullet"/>
      </w:pPr>
      <w:r>
        <w:t>g</w:t>
      </w:r>
      <w:r w:rsidRPr="00577860">
        <w:t>eneral awareness signs</w:t>
      </w:r>
    </w:p>
    <w:p w14:paraId="5765AC52" w14:textId="401EA49F" w:rsidR="000266D1" w:rsidRPr="00577860" w:rsidRDefault="000266D1" w:rsidP="000266D1">
      <w:pPr>
        <w:pStyle w:val="Bullet"/>
      </w:pPr>
      <w:r>
        <w:t>s</w:t>
      </w:r>
      <w:r w:rsidRPr="00577860">
        <w:t>pecific signs giving directions related to any control or management operations (including movement restrictions)</w:t>
      </w:r>
    </w:p>
    <w:p w14:paraId="72909F07" w14:textId="729E45CB" w:rsidR="000266D1" w:rsidRPr="00577860" w:rsidRDefault="000266D1" w:rsidP="000266D1">
      <w:pPr>
        <w:pStyle w:val="BulletLast"/>
      </w:pPr>
      <w:r>
        <w:t>s</w:t>
      </w:r>
      <w:r w:rsidRPr="00577860">
        <w:t>pecific signage at infe</w:t>
      </w:r>
      <w:r>
        <w:t>c</w:t>
      </w:r>
      <w:r w:rsidRPr="00577860">
        <w:t>ted sites.</w:t>
      </w:r>
    </w:p>
    <w:p w14:paraId="3131B632" w14:textId="396247AC" w:rsidR="000266D1" w:rsidRPr="00577860" w:rsidRDefault="000266D1" w:rsidP="000266D1">
      <w:r w:rsidRPr="00577860">
        <w:t>Signs come in many forms</w:t>
      </w:r>
      <w:r>
        <w:t>,</w:t>
      </w:r>
      <w:r w:rsidRPr="00577860">
        <w:t xml:space="preserve"> including static </w:t>
      </w:r>
      <w:r>
        <w:t>(eg </w:t>
      </w:r>
      <w:r w:rsidRPr="00577860">
        <w:t>billboards</w:t>
      </w:r>
      <w:r>
        <w:t xml:space="preserve">, </w:t>
      </w:r>
      <w:r w:rsidRPr="00577860">
        <w:t>mobile roadside high</w:t>
      </w:r>
      <w:r>
        <w:t>-</w:t>
      </w:r>
      <w:r w:rsidRPr="00577860">
        <w:t>visib</w:t>
      </w:r>
      <w:r>
        <w:t>ility</w:t>
      </w:r>
      <w:r w:rsidRPr="00577860">
        <w:t xml:space="preserve"> signs</w:t>
      </w:r>
      <w:r>
        <w:t>)</w:t>
      </w:r>
      <w:r w:rsidRPr="00577860">
        <w:t xml:space="preserve"> and mobile </w:t>
      </w:r>
      <w:r>
        <w:t>(eg </w:t>
      </w:r>
      <w:r w:rsidRPr="00577860">
        <w:t>wrapped buses</w:t>
      </w:r>
      <w:r>
        <w:t>)</w:t>
      </w:r>
      <w:r w:rsidRPr="00577860">
        <w:t>. Smaller signs such as A</w:t>
      </w:r>
      <w:r>
        <w:t>-</w:t>
      </w:r>
      <w:r w:rsidRPr="00577860">
        <w:t xml:space="preserve">frames are useful in areas such </w:t>
      </w:r>
      <w:r>
        <w:t xml:space="preserve">as </w:t>
      </w:r>
      <w:r w:rsidRPr="00577860">
        <w:t xml:space="preserve">shopping centres and markets. </w:t>
      </w:r>
    </w:p>
    <w:p w14:paraId="5B277028" w14:textId="77777777" w:rsidR="000266D1" w:rsidRPr="00577860" w:rsidRDefault="000266D1" w:rsidP="000266D1">
      <w:r w:rsidRPr="00577860">
        <w:t>Signage on response vehicles should be considered.</w:t>
      </w:r>
    </w:p>
    <w:p w14:paraId="1306A020" w14:textId="0A646E8D" w:rsidR="000266D1" w:rsidRPr="00577860" w:rsidRDefault="000266D1" w:rsidP="000266D1">
      <w:pPr>
        <w:pStyle w:val="Heading4"/>
      </w:pPr>
      <w:r w:rsidRPr="00577860">
        <w:t>Email update</w:t>
      </w:r>
    </w:p>
    <w:p w14:paraId="0039AD31" w14:textId="417083C7" w:rsidR="000266D1" w:rsidRPr="00577860" w:rsidRDefault="000266D1" w:rsidP="000266D1">
      <w:r w:rsidRPr="00577860">
        <w:t>A</w:t>
      </w:r>
      <w:r>
        <w:t>n e</w:t>
      </w:r>
      <w:r w:rsidRPr="00577860">
        <w:t xml:space="preserve">mail update will target client groups with a direct interest in the </w:t>
      </w:r>
      <w:r>
        <w:t>disease</w:t>
      </w:r>
      <w:r w:rsidRPr="00577860">
        <w:t xml:space="preserve"> incursion</w:t>
      </w:r>
      <w:r>
        <w:t>,</w:t>
      </w:r>
      <w:r w:rsidRPr="00577860">
        <w:t xml:space="preserve"> as well as likely multipliers (see above). The aim of the update is to provide accurate</w:t>
      </w:r>
      <w:r>
        <w:t xml:space="preserve"> and</w:t>
      </w:r>
      <w:r w:rsidRPr="00577860">
        <w:t xml:space="preserve"> regular information </w:t>
      </w:r>
      <w:r>
        <w:t>from a</w:t>
      </w:r>
      <w:r w:rsidRPr="00577860">
        <w:t xml:space="preserve"> respected </w:t>
      </w:r>
      <w:r>
        <w:t xml:space="preserve">source </w:t>
      </w:r>
      <w:r w:rsidRPr="00577860">
        <w:t>on what is happening in the response operation.</w:t>
      </w:r>
    </w:p>
    <w:p w14:paraId="3FB5E1CE" w14:textId="7FE8ACD8" w:rsidR="000266D1" w:rsidRPr="00577860" w:rsidRDefault="000266D1" w:rsidP="000266D1">
      <w:pPr>
        <w:pStyle w:val="NormalBeforeBullet"/>
      </w:pPr>
      <w:r w:rsidRPr="00577860">
        <w:t>In addition to routine information, the update can be used to highlight new information</w:t>
      </w:r>
      <w:r>
        <w:t xml:space="preserve"> </w:t>
      </w:r>
      <w:r w:rsidRPr="00577860">
        <w:t>resources, reinforce key messages</w:t>
      </w:r>
      <w:r>
        <w:t>,</w:t>
      </w:r>
      <w:r w:rsidRPr="00577860">
        <w:t xml:space="preserve"> and counter inaccurate rumours or extreme views from stakeholders. The update should meet the following criteria:</w:t>
      </w:r>
    </w:p>
    <w:p w14:paraId="3FA46DBC" w14:textId="4093FAF9" w:rsidR="000266D1" w:rsidRPr="00577860" w:rsidRDefault="000266D1" w:rsidP="000266D1">
      <w:pPr>
        <w:pStyle w:val="Bullet"/>
      </w:pPr>
      <w:r w:rsidRPr="00577860">
        <w:t>Issued on a regular and predictable basis (</w:t>
      </w:r>
      <w:r>
        <w:t xml:space="preserve">eg </w:t>
      </w:r>
      <w:r w:rsidRPr="00577860">
        <w:t>once or twice per week). The timeframe needs to be predictable and reliable</w:t>
      </w:r>
      <w:r>
        <w:t xml:space="preserve"> – for example, </w:t>
      </w:r>
      <w:r w:rsidRPr="00577860">
        <w:t>by 5:00</w:t>
      </w:r>
      <w:r>
        <w:t> </w:t>
      </w:r>
      <w:r w:rsidRPr="00577860">
        <w:t>pm on Tuesdays and Fridays. The schedule can be changed as the operation proceeds, but it is important that the schedule be rigorously maintained.</w:t>
      </w:r>
    </w:p>
    <w:p w14:paraId="22129B9E" w14:textId="1F1C9EDE" w:rsidR="000266D1" w:rsidRPr="00577860" w:rsidRDefault="000266D1" w:rsidP="000266D1">
      <w:pPr>
        <w:pStyle w:val="Bullet"/>
      </w:pPr>
      <w:r w:rsidRPr="00577860">
        <w:t>Can draw information from the sitrep, and information must be consistent with the sitrep</w:t>
      </w:r>
      <w:r>
        <w:t>.</w:t>
      </w:r>
      <w:r w:rsidRPr="00577860">
        <w:t xml:space="preserve"> However, all information in the update must be written in plain English</w:t>
      </w:r>
      <w:r>
        <w:t xml:space="preserve"> (</w:t>
      </w:r>
      <w:r w:rsidRPr="00577860">
        <w:t>without jargon, acronyms</w:t>
      </w:r>
      <w:r>
        <w:t>,</w:t>
      </w:r>
      <w:r w:rsidRPr="00577860">
        <w:t xml:space="preserve"> etc</w:t>
      </w:r>
      <w:r>
        <w:t>)</w:t>
      </w:r>
      <w:r w:rsidRPr="00577860">
        <w:t xml:space="preserve">. </w:t>
      </w:r>
      <w:r>
        <w:t>The email update</w:t>
      </w:r>
      <w:r w:rsidRPr="00577860">
        <w:t xml:space="preserve"> is for the average person.</w:t>
      </w:r>
    </w:p>
    <w:p w14:paraId="3EE8B977" w14:textId="41681295" w:rsidR="000266D1" w:rsidRPr="00577860" w:rsidRDefault="000266D1" w:rsidP="000266D1">
      <w:pPr>
        <w:pStyle w:val="Bullet"/>
      </w:pPr>
      <w:r w:rsidRPr="00577860">
        <w:t>Report</w:t>
      </w:r>
      <w:r>
        <w:t>s</w:t>
      </w:r>
      <w:r w:rsidRPr="00577860">
        <w:t xml:space="preserve"> things </w:t>
      </w:r>
      <w:r>
        <w:t>such as</w:t>
      </w:r>
      <w:r w:rsidRPr="00577860">
        <w:t xml:space="preserve"> new infestations. </w:t>
      </w:r>
      <w:r>
        <w:t xml:space="preserve">It can </w:t>
      </w:r>
      <w:r w:rsidRPr="00577860">
        <w:t xml:space="preserve">state the obvious – </w:t>
      </w:r>
      <w:r>
        <w:t>for example</w:t>
      </w:r>
      <w:r w:rsidRPr="00577860">
        <w:t xml:space="preserve">, </w:t>
      </w:r>
      <w:r>
        <w:t>‘</w:t>
      </w:r>
      <w:r w:rsidRPr="00577860">
        <w:t xml:space="preserve">no new infestations have been observed for </w:t>
      </w:r>
      <w:r>
        <w:t>2</w:t>
      </w:r>
      <w:r w:rsidRPr="00577860">
        <w:t xml:space="preserve"> weeks</w:t>
      </w:r>
      <w:r>
        <w:t>’</w:t>
      </w:r>
      <w:r w:rsidRPr="00577860">
        <w:t>.</w:t>
      </w:r>
    </w:p>
    <w:p w14:paraId="011FE57F" w14:textId="77777777" w:rsidR="000266D1" w:rsidRPr="00577860" w:rsidRDefault="000266D1" w:rsidP="000266D1">
      <w:pPr>
        <w:pStyle w:val="Bullet"/>
      </w:pPr>
      <w:r w:rsidRPr="00577860">
        <w:t>Advise</w:t>
      </w:r>
      <w:r>
        <w:t>s on</w:t>
      </w:r>
      <w:r w:rsidRPr="00577860">
        <w:t xml:space="preserve"> any new resources available and how they can be obtained.</w:t>
      </w:r>
    </w:p>
    <w:p w14:paraId="3FB3F5C1" w14:textId="4FDADD6B" w:rsidR="000266D1" w:rsidRPr="00577860" w:rsidRDefault="000266D1" w:rsidP="000266D1">
      <w:pPr>
        <w:pStyle w:val="Bullet"/>
      </w:pPr>
      <w:r w:rsidRPr="00577860">
        <w:t>Reinforce</w:t>
      </w:r>
      <w:r>
        <w:t>s</w:t>
      </w:r>
      <w:r w:rsidRPr="00577860">
        <w:t xml:space="preserve"> the key messages with reminders, but </w:t>
      </w:r>
      <w:r>
        <w:t>should</w:t>
      </w:r>
      <w:r w:rsidRPr="00577860">
        <w:t xml:space="preserve"> avoid static, unchanging sections. People will not constantly re-read things they think they have already seen.</w:t>
      </w:r>
    </w:p>
    <w:p w14:paraId="75E7C4ED" w14:textId="1A6D292A" w:rsidR="000266D1" w:rsidRPr="00577860" w:rsidRDefault="000266D1" w:rsidP="000266D1">
      <w:pPr>
        <w:pStyle w:val="Bullet"/>
      </w:pPr>
      <w:r w:rsidRPr="00577860">
        <w:t>Directly address</w:t>
      </w:r>
      <w:r>
        <w:t>es</w:t>
      </w:r>
      <w:r w:rsidRPr="00577860">
        <w:t xml:space="preserve"> any negative rumours or opinions. </w:t>
      </w:r>
      <w:r>
        <w:t>It should e</w:t>
      </w:r>
      <w:r w:rsidRPr="00577860">
        <w:t>ncourage people to use factual and reliable sources of information</w:t>
      </w:r>
      <w:r>
        <w:t>,</w:t>
      </w:r>
      <w:r w:rsidRPr="00577860">
        <w:t xml:space="preserve"> and to check before they act on rumour.</w:t>
      </w:r>
    </w:p>
    <w:p w14:paraId="577ABF44" w14:textId="68D0FB2F" w:rsidR="000266D1" w:rsidRPr="00577860" w:rsidRDefault="000266D1" w:rsidP="000266D1">
      <w:pPr>
        <w:pStyle w:val="Bullet"/>
      </w:pPr>
      <w:r>
        <w:t>F</w:t>
      </w:r>
      <w:r w:rsidRPr="00577860">
        <w:t>riendly and informative</w:t>
      </w:r>
      <w:r>
        <w:t xml:space="preserve"> in tone</w:t>
      </w:r>
      <w:r w:rsidRPr="00577860">
        <w:t>.</w:t>
      </w:r>
    </w:p>
    <w:p w14:paraId="1B08879F" w14:textId="0CC0B7EF" w:rsidR="000266D1" w:rsidRPr="00577860" w:rsidRDefault="000266D1" w:rsidP="000266D1">
      <w:pPr>
        <w:pStyle w:val="BulletLast"/>
      </w:pPr>
      <w:r w:rsidRPr="00577860">
        <w:t>Distribute</w:t>
      </w:r>
      <w:r>
        <w:t>d</w:t>
      </w:r>
      <w:r w:rsidRPr="00577860">
        <w:t xml:space="preserve"> direct to a stakeholder email list</w:t>
      </w:r>
      <w:r>
        <w:t xml:space="preserve"> and</w:t>
      </w:r>
      <w:r w:rsidRPr="00577860">
        <w:t xml:space="preserve"> post</w:t>
      </w:r>
      <w:r>
        <w:t>ed</w:t>
      </w:r>
      <w:r w:rsidRPr="00577860">
        <w:t xml:space="preserve"> on the website</w:t>
      </w:r>
      <w:r>
        <w:t xml:space="preserve">. People should be </w:t>
      </w:r>
      <w:r w:rsidRPr="00577860">
        <w:t>encourage</w:t>
      </w:r>
      <w:r>
        <w:t>d</w:t>
      </w:r>
      <w:r w:rsidRPr="00577860">
        <w:t xml:space="preserve"> to print it out and hand it around. </w:t>
      </w:r>
      <w:r>
        <w:t>A</w:t>
      </w:r>
      <w:r w:rsidRPr="00577860">
        <w:t xml:space="preserve"> more formal </w:t>
      </w:r>
      <w:r>
        <w:t>‘</w:t>
      </w:r>
      <w:r w:rsidRPr="00577860">
        <w:t>noticeboard</w:t>
      </w:r>
      <w:r>
        <w:t>’</w:t>
      </w:r>
      <w:r w:rsidRPr="00577860">
        <w:t xml:space="preserve"> campaign at several key locations </w:t>
      </w:r>
      <w:r>
        <w:t>could be considered</w:t>
      </w:r>
      <w:r w:rsidRPr="00577860">
        <w:t>.</w:t>
      </w:r>
    </w:p>
    <w:p w14:paraId="3147922A" w14:textId="77777777" w:rsidR="000266D1" w:rsidRPr="00577860" w:rsidRDefault="000266D1" w:rsidP="000266D1">
      <w:pPr>
        <w:pStyle w:val="Heading4"/>
      </w:pPr>
      <w:r w:rsidRPr="00577860">
        <w:t>Direct liaison by operations centre</w:t>
      </w:r>
    </w:p>
    <w:p w14:paraId="21BF1FF7" w14:textId="585D0106" w:rsidR="000266D1" w:rsidRPr="00577860" w:rsidRDefault="000266D1" w:rsidP="000266D1">
      <w:r w:rsidRPr="00577860">
        <w:t>Contact with a small number of key stakeholders will be tasked to specific staff or sections within the operational structure</w:t>
      </w:r>
      <w:r>
        <w:t xml:space="preserve"> (as shown in the organisational chart and plans)</w:t>
      </w:r>
      <w:r w:rsidRPr="00577860">
        <w:t xml:space="preserve">. </w:t>
      </w:r>
    </w:p>
    <w:p w14:paraId="3C39FDE1" w14:textId="77777777" w:rsidR="000266D1" w:rsidRPr="00577860" w:rsidRDefault="000266D1" w:rsidP="000266D1">
      <w:pPr>
        <w:pStyle w:val="Heading4"/>
      </w:pPr>
      <w:r w:rsidRPr="00577860">
        <w:t>Hotline</w:t>
      </w:r>
    </w:p>
    <w:p w14:paraId="17CD6E97" w14:textId="0BC494C6" w:rsidR="000266D1" w:rsidRPr="00577860" w:rsidRDefault="000266D1" w:rsidP="000266D1">
      <w:r w:rsidRPr="00577860">
        <w:t xml:space="preserve">The </w:t>
      </w:r>
      <w:r>
        <w:t>h</w:t>
      </w:r>
      <w:r w:rsidRPr="00577860">
        <w:t xml:space="preserve">otline will be the single point of general enquiry from public stakeholders. </w:t>
      </w:r>
      <w:r>
        <w:t xml:space="preserve">It </w:t>
      </w:r>
      <w:r w:rsidRPr="00577860">
        <w:t>can be accessed by telephone or email and is supplemented by an online reporting form.</w:t>
      </w:r>
    </w:p>
    <w:p w14:paraId="3F186621" w14:textId="77777777" w:rsidR="000266D1" w:rsidRPr="00577860" w:rsidRDefault="000266D1" w:rsidP="000266D1">
      <w:pPr>
        <w:pStyle w:val="Heading4"/>
      </w:pPr>
      <w:r w:rsidRPr="00577860">
        <w:t>Face-to-face activities</w:t>
      </w:r>
    </w:p>
    <w:p w14:paraId="2612E093" w14:textId="0F8C280E" w:rsidR="000266D1" w:rsidRPr="0088000D" w:rsidRDefault="000266D1" w:rsidP="000266D1">
      <w:r w:rsidRPr="0088000D">
        <w:t xml:space="preserve">Face-to-face activities will focus on the key target audiences in areas where </w:t>
      </w:r>
      <w:r>
        <w:t>the disease</w:t>
      </w:r>
      <w:r w:rsidRPr="0088000D">
        <w:t xml:space="preserve"> has been confirmed. It will be important for these activities to provide for two-way exchange of information and for more detailed discussion of issues affecting the stakeholder groups. Face-to-face activities will be supported by publications, and participants should be referred to the websites for more detailed information</w:t>
      </w:r>
      <w:r>
        <w:t>,</w:t>
      </w:r>
      <w:r w:rsidRPr="0088000D">
        <w:t xml:space="preserve"> when appropriate.</w:t>
      </w:r>
    </w:p>
    <w:p w14:paraId="3D3E200C" w14:textId="77777777" w:rsidR="000266D1" w:rsidRPr="002700D3" w:rsidRDefault="000266D1" w:rsidP="000266D1">
      <w:pPr>
        <w:pStyle w:val="NormalBeforeBullet"/>
      </w:pPr>
      <w:r w:rsidRPr="002700D3">
        <w:t>Face-to-face activities may include:</w:t>
      </w:r>
    </w:p>
    <w:p w14:paraId="1360527D" w14:textId="0EE95670" w:rsidR="000266D1" w:rsidRPr="002700D3" w:rsidRDefault="000266D1" w:rsidP="000266D1">
      <w:pPr>
        <w:pStyle w:val="Bullet"/>
      </w:pPr>
      <w:r>
        <w:t>i</w:t>
      </w:r>
      <w:r w:rsidRPr="002700D3">
        <w:t>ndividual visits from extension or compliance staff</w:t>
      </w:r>
    </w:p>
    <w:p w14:paraId="71494EFD" w14:textId="28A5C6C1" w:rsidR="000266D1" w:rsidRPr="002700D3" w:rsidRDefault="000266D1" w:rsidP="000266D1">
      <w:pPr>
        <w:pStyle w:val="Bullet"/>
      </w:pPr>
      <w:r>
        <w:t>c</w:t>
      </w:r>
      <w:r w:rsidRPr="002700D3">
        <w:t>ommunity meetings</w:t>
      </w:r>
    </w:p>
    <w:p w14:paraId="246827FD" w14:textId="7AC69933" w:rsidR="000266D1" w:rsidRPr="002700D3" w:rsidRDefault="000266D1" w:rsidP="000266D1">
      <w:pPr>
        <w:pStyle w:val="Bullet"/>
      </w:pPr>
      <w:r>
        <w:t>f</w:t>
      </w:r>
      <w:r w:rsidRPr="002700D3">
        <w:t>ield days</w:t>
      </w:r>
    </w:p>
    <w:p w14:paraId="4AD2D3ED" w14:textId="2FF0377C" w:rsidR="000266D1" w:rsidRDefault="000266D1" w:rsidP="000266D1">
      <w:pPr>
        <w:pStyle w:val="Bullet"/>
      </w:pPr>
      <w:r>
        <w:t>e</w:t>
      </w:r>
      <w:r w:rsidRPr="002700D3">
        <w:t>ducation programs</w:t>
      </w:r>
    </w:p>
    <w:p w14:paraId="1518FBB9" w14:textId="4400C080" w:rsidR="000266D1" w:rsidRPr="002700D3" w:rsidRDefault="000266D1" w:rsidP="000266D1">
      <w:pPr>
        <w:pStyle w:val="BulletLast"/>
      </w:pPr>
      <w:r>
        <w:t>community engagement activities, including pop-up booths at field days and shopping centres, information provision and discussion by field staff, and school presentations.</w:t>
      </w:r>
    </w:p>
    <w:p w14:paraId="7A7DACC3" w14:textId="77777777" w:rsidR="000266D1" w:rsidRPr="00577860" w:rsidRDefault="000266D1" w:rsidP="000266D1">
      <w:pPr>
        <w:pStyle w:val="Heading4"/>
      </w:pPr>
      <w:r w:rsidRPr="00577860">
        <w:t>Other channels</w:t>
      </w:r>
    </w:p>
    <w:p w14:paraId="4259BCC3" w14:textId="6BE5BB4D" w:rsidR="000266D1" w:rsidRPr="0088000D" w:rsidRDefault="000266D1" w:rsidP="000266D1">
      <w:r w:rsidRPr="0088000D">
        <w:t>Media may be specific to a target audience.</w:t>
      </w:r>
    </w:p>
    <w:p w14:paraId="07AB4B5A" w14:textId="29258DBD" w:rsidR="000266D1" w:rsidRPr="0088000D" w:rsidRDefault="000266D1" w:rsidP="000266D1">
      <w:r w:rsidRPr="0088000D">
        <w:t xml:space="preserve">Response branding should be considered for response operating over a protracted period. Branding </w:t>
      </w:r>
      <w:r>
        <w:t>should be considered for</w:t>
      </w:r>
      <w:r w:rsidRPr="0088000D">
        <w:t xml:space="preserve"> business cards used by field personnel completing their duties</w:t>
      </w:r>
      <w:r>
        <w:t>,</w:t>
      </w:r>
      <w:r w:rsidRPr="0088000D">
        <w:t xml:space="preserve"> and </w:t>
      </w:r>
      <w:r>
        <w:t xml:space="preserve">for </w:t>
      </w:r>
      <w:r w:rsidRPr="0088000D">
        <w:t>uniforms (</w:t>
      </w:r>
      <w:r>
        <w:t>including</w:t>
      </w:r>
      <w:r w:rsidRPr="0088000D">
        <w:t xml:space="preserve"> </w:t>
      </w:r>
      <w:r>
        <w:t>personal protective equipment</w:t>
      </w:r>
      <w:r w:rsidRPr="0088000D">
        <w:t>).</w:t>
      </w:r>
    </w:p>
    <w:p w14:paraId="51766C40" w14:textId="4A055D7F" w:rsidR="000266D1" w:rsidRPr="00577860" w:rsidRDefault="00EA3F63" w:rsidP="000266D1">
      <w:pPr>
        <w:pStyle w:val="Heading3a"/>
      </w:pPr>
      <w:r>
        <w:t>Table A5.2</w:t>
      </w:r>
      <w:r>
        <w:tab/>
      </w:r>
      <w:r w:rsidR="000266D1">
        <w:t>Communications activities</w:t>
      </w:r>
    </w:p>
    <w:tbl>
      <w:tblPr>
        <w:tblW w:w="5000" w:type="pct"/>
        <w:tblLayout w:type="fixed"/>
        <w:tblCellMar>
          <w:top w:w="57" w:type="dxa"/>
          <w:bottom w:w="57" w:type="dxa"/>
        </w:tblCellMar>
        <w:tblLook w:val="01E0" w:firstRow="1" w:lastRow="1" w:firstColumn="1" w:lastColumn="1" w:noHBand="0" w:noVBand="0"/>
      </w:tblPr>
      <w:tblGrid>
        <w:gridCol w:w="1352"/>
        <w:gridCol w:w="2272"/>
        <w:gridCol w:w="1504"/>
        <w:gridCol w:w="992"/>
        <w:gridCol w:w="1171"/>
        <w:gridCol w:w="1735"/>
      </w:tblGrid>
      <w:tr w:rsidR="000266D1" w:rsidRPr="00577860" w14:paraId="47928804" w14:textId="77777777" w:rsidTr="000266D1">
        <w:trPr>
          <w:cantSplit/>
          <w:tblHeader/>
        </w:trPr>
        <w:tc>
          <w:tcPr>
            <w:tcW w:w="1384" w:type="dxa"/>
            <w:tcBorders>
              <w:top w:val="single" w:sz="4" w:space="0" w:color="auto"/>
              <w:bottom w:val="single" w:sz="4" w:space="0" w:color="auto"/>
            </w:tcBorders>
            <w:shd w:val="clear" w:color="auto" w:fill="auto"/>
          </w:tcPr>
          <w:p w14:paraId="4723A1B3" w14:textId="77777777" w:rsidR="000266D1" w:rsidRPr="00577860" w:rsidRDefault="000266D1" w:rsidP="000266D1">
            <w:pPr>
              <w:pStyle w:val="TableHeading"/>
            </w:pPr>
            <w:r w:rsidRPr="00577860">
              <w:t>Method</w:t>
            </w:r>
          </w:p>
        </w:tc>
        <w:tc>
          <w:tcPr>
            <w:tcW w:w="2328" w:type="dxa"/>
            <w:tcBorders>
              <w:top w:val="single" w:sz="4" w:space="0" w:color="auto"/>
              <w:bottom w:val="single" w:sz="4" w:space="0" w:color="auto"/>
            </w:tcBorders>
            <w:shd w:val="clear" w:color="auto" w:fill="auto"/>
          </w:tcPr>
          <w:p w14:paraId="3CFF30AF" w14:textId="77777777" w:rsidR="000266D1" w:rsidRPr="00577860" w:rsidRDefault="000266D1" w:rsidP="000266D1">
            <w:pPr>
              <w:pStyle w:val="TableHeading"/>
            </w:pPr>
            <w:r w:rsidRPr="00577860">
              <w:t>Description</w:t>
            </w:r>
          </w:p>
        </w:tc>
        <w:tc>
          <w:tcPr>
            <w:tcW w:w="1540" w:type="dxa"/>
            <w:tcBorders>
              <w:top w:val="single" w:sz="4" w:space="0" w:color="auto"/>
              <w:bottom w:val="single" w:sz="4" w:space="0" w:color="auto"/>
            </w:tcBorders>
            <w:shd w:val="clear" w:color="auto" w:fill="auto"/>
          </w:tcPr>
          <w:p w14:paraId="24FB8F8E" w14:textId="77777777" w:rsidR="000266D1" w:rsidRPr="00577860" w:rsidRDefault="000266D1" w:rsidP="000266D1">
            <w:pPr>
              <w:pStyle w:val="TableHeading"/>
            </w:pPr>
            <w:r w:rsidRPr="00577860">
              <w:t>Audience</w:t>
            </w:r>
            <w:r>
              <w:t>(</w:t>
            </w:r>
            <w:r w:rsidRPr="00577860">
              <w:t>s</w:t>
            </w:r>
            <w:r>
              <w:t>)</w:t>
            </w:r>
          </w:p>
        </w:tc>
        <w:tc>
          <w:tcPr>
            <w:tcW w:w="1014" w:type="dxa"/>
            <w:tcBorders>
              <w:top w:val="single" w:sz="4" w:space="0" w:color="auto"/>
              <w:bottom w:val="single" w:sz="4" w:space="0" w:color="auto"/>
            </w:tcBorders>
            <w:shd w:val="clear" w:color="auto" w:fill="auto"/>
          </w:tcPr>
          <w:p w14:paraId="61BEF63A" w14:textId="77777777" w:rsidR="000266D1" w:rsidRPr="00577860" w:rsidRDefault="000266D1" w:rsidP="000266D1">
            <w:pPr>
              <w:pStyle w:val="TableHeading"/>
            </w:pPr>
            <w:r w:rsidRPr="00577860">
              <w:t>Budget</w:t>
            </w:r>
          </w:p>
        </w:tc>
        <w:tc>
          <w:tcPr>
            <w:tcW w:w="1198" w:type="dxa"/>
            <w:tcBorders>
              <w:top w:val="single" w:sz="4" w:space="0" w:color="auto"/>
              <w:bottom w:val="single" w:sz="4" w:space="0" w:color="auto"/>
            </w:tcBorders>
            <w:shd w:val="clear" w:color="auto" w:fill="auto"/>
          </w:tcPr>
          <w:p w14:paraId="75F8FF63" w14:textId="77777777" w:rsidR="000266D1" w:rsidRPr="00577860" w:rsidRDefault="000266D1" w:rsidP="000266D1">
            <w:pPr>
              <w:pStyle w:val="TableHeading"/>
            </w:pPr>
            <w:r w:rsidRPr="00577860">
              <w:t>Deadline</w:t>
            </w:r>
          </w:p>
        </w:tc>
        <w:tc>
          <w:tcPr>
            <w:tcW w:w="1778" w:type="dxa"/>
            <w:tcBorders>
              <w:top w:val="single" w:sz="4" w:space="0" w:color="auto"/>
              <w:bottom w:val="single" w:sz="4" w:space="0" w:color="auto"/>
            </w:tcBorders>
            <w:shd w:val="clear" w:color="auto" w:fill="auto"/>
          </w:tcPr>
          <w:p w14:paraId="6C6A5D84" w14:textId="77777777" w:rsidR="000266D1" w:rsidRPr="00577860" w:rsidRDefault="000266D1" w:rsidP="000266D1">
            <w:pPr>
              <w:pStyle w:val="TableHeading"/>
            </w:pPr>
            <w:r w:rsidRPr="00577860">
              <w:t>Responsibility</w:t>
            </w:r>
          </w:p>
        </w:tc>
      </w:tr>
      <w:tr w:rsidR="000266D1" w:rsidRPr="00577860" w14:paraId="255DC53A" w14:textId="77777777" w:rsidTr="000266D1">
        <w:trPr>
          <w:cantSplit/>
        </w:trPr>
        <w:tc>
          <w:tcPr>
            <w:tcW w:w="1382" w:type="dxa"/>
            <w:tcBorders>
              <w:top w:val="single" w:sz="4" w:space="0" w:color="auto"/>
            </w:tcBorders>
            <w:shd w:val="clear" w:color="auto" w:fill="auto"/>
          </w:tcPr>
          <w:p w14:paraId="5B78CD0E" w14:textId="77777777" w:rsidR="000266D1" w:rsidRPr="00577860" w:rsidRDefault="000266D1" w:rsidP="000266D1">
            <w:pPr>
              <w:pStyle w:val="TableText0"/>
            </w:pPr>
            <w:r w:rsidRPr="00577860">
              <w:t xml:space="preserve">Publications </w:t>
            </w:r>
          </w:p>
        </w:tc>
        <w:tc>
          <w:tcPr>
            <w:tcW w:w="2330" w:type="dxa"/>
            <w:tcBorders>
              <w:top w:val="single" w:sz="4" w:space="0" w:color="auto"/>
            </w:tcBorders>
            <w:shd w:val="clear" w:color="auto" w:fill="auto"/>
          </w:tcPr>
          <w:p w14:paraId="445F767D" w14:textId="77777777" w:rsidR="000266D1" w:rsidRPr="00577860" w:rsidRDefault="000266D1" w:rsidP="000266D1">
            <w:pPr>
              <w:pStyle w:val="TableText0"/>
            </w:pPr>
            <w:r w:rsidRPr="00577860">
              <w:t>Interim awareness flyer</w:t>
            </w:r>
          </w:p>
        </w:tc>
        <w:tc>
          <w:tcPr>
            <w:tcW w:w="1540" w:type="dxa"/>
            <w:tcBorders>
              <w:top w:val="single" w:sz="4" w:space="0" w:color="auto"/>
            </w:tcBorders>
            <w:shd w:val="clear" w:color="auto" w:fill="auto"/>
          </w:tcPr>
          <w:p w14:paraId="1D518289" w14:textId="77777777" w:rsidR="000266D1" w:rsidRPr="00577860" w:rsidRDefault="000266D1" w:rsidP="000266D1">
            <w:pPr>
              <w:pStyle w:val="TableText0"/>
            </w:pPr>
          </w:p>
        </w:tc>
        <w:tc>
          <w:tcPr>
            <w:tcW w:w="1014" w:type="dxa"/>
            <w:tcBorders>
              <w:top w:val="single" w:sz="4" w:space="0" w:color="auto"/>
            </w:tcBorders>
            <w:shd w:val="clear" w:color="auto" w:fill="auto"/>
          </w:tcPr>
          <w:p w14:paraId="5B09958A" w14:textId="77777777" w:rsidR="000266D1" w:rsidRPr="00577860" w:rsidRDefault="000266D1" w:rsidP="000266D1">
            <w:pPr>
              <w:pStyle w:val="TableText0"/>
            </w:pPr>
          </w:p>
        </w:tc>
        <w:tc>
          <w:tcPr>
            <w:tcW w:w="1198" w:type="dxa"/>
            <w:tcBorders>
              <w:top w:val="single" w:sz="4" w:space="0" w:color="auto"/>
            </w:tcBorders>
            <w:shd w:val="clear" w:color="auto" w:fill="auto"/>
          </w:tcPr>
          <w:p w14:paraId="19BAABD2" w14:textId="77777777" w:rsidR="000266D1" w:rsidRPr="00577860" w:rsidRDefault="000266D1" w:rsidP="000266D1">
            <w:pPr>
              <w:pStyle w:val="TableText0"/>
            </w:pPr>
          </w:p>
        </w:tc>
        <w:tc>
          <w:tcPr>
            <w:tcW w:w="1778" w:type="dxa"/>
            <w:tcBorders>
              <w:top w:val="single" w:sz="4" w:space="0" w:color="auto"/>
            </w:tcBorders>
            <w:shd w:val="clear" w:color="auto" w:fill="auto"/>
          </w:tcPr>
          <w:p w14:paraId="295E6537" w14:textId="77777777" w:rsidR="000266D1" w:rsidRPr="00577860" w:rsidRDefault="000266D1" w:rsidP="000266D1">
            <w:pPr>
              <w:pStyle w:val="TableText0"/>
            </w:pPr>
          </w:p>
        </w:tc>
      </w:tr>
      <w:tr w:rsidR="000266D1" w:rsidRPr="00577860" w14:paraId="53AA0853" w14:textId="77777777" w:rsidTr="000266D1">
        <w:trPr>
          <w:cantSplit/>
        </w:trPr>
        <w:tc>
          <w:tcPr>
            <w:tcW w:w="1384" w:type="dxa"/>
            <w:shd w:val="clear" w:color="auto" w:fill="auto"/>
          </w:tcPr>
          <w:p w14:paraId="1963F82C" w14:textId="77777777" w:rsidR="000266D1" w:rsidRPr="00577860" w:rsidDel="00286441" w:rsidRDefault="000266D1" w:rsidP="000266D1">
            <w:pPr>
              <w:pStyle w:val="TableText0"/>
            </w:pPr>
          </w:p>
        </w:tc>
        <w:tc>
          <w:tcPr>
            <w:tcW w:w="2328" w:type="dxa"/>
            <w:shd w:val="clear" w:color="auto" w:fill="auto"/>
          </w:tcPr>
          <w:p w14:paraId="2B346902" w14:textId="77777777" w:rsidR="000266D1" w:rsidRPr="00577860" w:rsidDel="00286441" w:rsidRDefault="000266D1" w:rsidP="000266D1">
            <w:pPr>
              <w:pStyle w:val="TableText0"/>
            </w:pPr>
            <w:r w:rsidRPr="00577860">
              <w:t>Identification card</w:t>
            </w:r>
          </w:p>
        </w:tc>
        <w:tc>
          <w:tcPr>
            <w:tcW w:w="1540" w:type="dxa"/>
            <w:shd w:val="clear" w:color="auto" w:fill="auto"/>
          </w:tcPr>
          <w:p w14:paraId="14AD2DF9" w14:textId="77777777" w:rsidR="000266D1" w:rsidRPr="00577860" w:rsidDel="00286441" w:rsidRDefault="000266D1" w:rsidP="000266D1">
            <w:pPr>
              <w:pStyle w:val="TableText0"/>
            </w:pPr>
          </w:p>
        </w:tc>
        <w:tc>
          <w:tcPr>
            <w:tcW w:w="1014" w:type="dxa"/>
            <w:shd w:val="clear" w:color="auto" w:fill="auto"/>
          </w:tcPr>
          <w:p w14:paraId="52C95E6E" w14:textId="77777777" w:rsidR="000266D1" w:rsidRPr="00577860" w:rsidRDefault="000266D1" w:rsidP="000266D1">
            <w:pPr>
              <w:pStyle w:val="TableText0"/>
            </w:pPr>
          </w:p>
        </w:tc>
        <w:tc>
          <w:tcPr>
            <w:tcW w:w="1198" w:type="dxa"/>
            <w:shd w:val="clear" w:color="auto" w:fill="auto"/>
          </w:tcPr>
          <w:p w14:paraId="12388BEA" w14:textId="77777777" w:rsidR="000266D1" w:rsidRPr="00577860" w:rsidDel="00286441" w:rsidRDefault="000266D1" w:rsidP="000266D1">
            <w:pPr>
              <w:pStyle w:val="TableText0"/>
            </w:pPr>
          </w:p>
        </w:tc>
        <w:tc>
          <w:tcPr>
            <w:tcW w:w="1778" w:type="dxa"/>
            <w:shd w:val="clear" w:color="auto" w:fill="auto"/>
          </w:tcPr>
          <w:p w14:paraId="1E5C3D58" w14:textId="77777777" w:rsidR="000266D1" w:rsidRPr="00577860" w:rsidDel="00C55EA7" w:rsidRDefault="000266D1" w:rsidP="000266D1">
            <w:pPr>
              <w:pStyle w:val="TableText0"/>
            </w:pPr>
          </w:p>
        </w:tc>
      </w:tr>
      <w:tr w:rsidR="000266D1" w:rsidRPr="00577860" w14:paraId="0B5C39FE" w14:textId="77777777" w:rsidTr="000266D1">
        <w:trPr>
          <w:cantSplit/>
        </w:trPr>
        <w:tc>
          <w:tcPr>
            <w:tcW w:w="1384" w:type="dxa"/>
            <w:shd w:val="clear" w:color="auto" w:fill="auto"/>
          </w:tcPr>
          <w:p w14:paraId="3D0E2A33" w14:textId="77777777" w:rsidR="000266D1" w:rsidRPr="00577860" w:rsidDel="00286441" w:rsidRDefault="000266D1" w:rsidP="000266D1">
            <w:pPr>
              <w:pStyle w:val="TableText0"/>
            </w:pPr>
            <w:r w:rsidRPr="00577860">
              <w:t>Websites</w:t>
            </w:r>
          </w:p>
        </w:tc>
        <w:tc>
          <w:tcPr>
            <w:tcW w:w="2328" w:type="dxa"/>
            <w:shd w:val="clear" w:color="auto" w:fill="auto"/>
          </w:tcPr>
          <w:p w14:paraId="6375BC65" w14:textId="77777777" w:rsidR="000266D1" w:rsidRPr="00577860" w:rsidRDefault="000266D1" w:rsidP="000266D1">
            <w:pPr>
              <w:pStyle w:val="TableText0"/>
            </w:pPr>
          </w:p>
        </w:tc>
        <w:tc>
          <w:tcPr>
            <w:tcW w:w="1540" w:type="dxa"/>
            <w:shd w:val="clear" w:color="auto" w:fill="auto"/>
          </w:tcPr>
          <w:p w14:paraId="36C94EAD" w14:textId="77777777" w:rsidR="000266D1" w:rsidRPr="00577860" w:rsidRDefault="000266D1" w:rsidP="000266D1">
            <w:pPr>
              <w:pStyle w:val="TableText0"/>
            </w:pPr>
          </w:p>
        </w:tc>
        <w:tc>
          <w:tcPr>
            <w:tcW w:w="1014" w:type="dxa"/>
            <w:shd w:val="clear" w:color="auto" w:fill="auto"/>
          </w:tcPr>
          <w:p w14:paraId="63DC1079" w14:textId="77777777" w:rsidR="000266D1" w:rsidRPr="00577860" w:rsidRDefault="000266D1" w:rsidP="000266D1">
            <w:pPr>
              <w:pStyle w:val="TableText0"/>
            </w:pPr>
          </w:p>
        </w:tc>
        <w:tc>
          <w:tcPr>
            <w:tcW w:w="1198" w:type="dxa"/>
            <w:shd w:val="clear" w:color="auto" w:fill="auto"/>
          </w:tcPr>
          <w:p w14:paraId="0C70D2B1" w14:textId="77777777" w:rsidR="000266D1" w:rsidRPr="00577860" w:rsidRDefault="000266D1" w:rsidP="000266D1">
            <w:pPr>
              <w:pStyle w:val="TableText0"/>
            </w:pPr>
          </w:p>
        </w:tc>
        <w:tc>
          <w:tcPr>
            <w:tcW w:w="1778" w:type="dxa"/>
            <w:shd w:val="clear" w:color="auto" w:fill="auto"/>
          </w:tcPr>
          <w:p w14:paraId="5F4F96E2" w14:textId="77777777" w:rsidR="000266D1" w:rsidRPr="00577860" w:rsidRDefault="000266D1" w:rsidP="000266D1">
            <w:pPr>
              <w:pStyle w:val="TableText0"/>
            </w:pPr>
          </w:p>
        </w:tc>
      </w:tr>
      <w:tr w:rsidR="000266D1" w:rsidRPr="00577860" w14:paraId="2A954A65" w14:textId="77777777" w:rsidTr="000266D1">
        <w:trPr>
          <w:cantSplit/>
        </w:trPr>
        <w:tc>
          <w:tcPr>
            <w:tcW w:w="1384" w:type="dxa"/>
            <w:shd w:val="clear" w:color="auto" w:fill="auto"/>
          </w:tcPr>
          <w:p w14:paraId="6C29693D" w14:textId="77777777" w:rsidR="000266D1" w:rsidRPr="00577860" w:rsidRDefault="000266D1" w:rsidP="000266D1">
            <w:pPr>
              <w:pStyle w:val="TableText0"/>
            </w:pPr>
            <w:r w:rsidRPr="00577860">
              <w:t>Hotline</w:t>
            </w:r>
          </w:p>
        </w:tc>
        <w:tc>
          <w:tcPr>
            <w:tcW w:w="2328" w:type="dxa"/>
            <w:shd w:val="clear" w:color="auto" w:fill="auto"/>
          </w:tcPr>
          <w:p w14:paraId="0BB72A32" w14:textId="4DFE4A85" w:rsidR="000266D1" w:rsidRPr="00577860" w:rsidRDefault="000266D1" w:rsidP="000266D1">
            <w:pPr>
              <w:pStyle w:val="TableText0"/>
            </w:pPr>
            <w:r w:rsidRPr="00577860">
              <w:t xml:space="preserve">Phone </w:t>
            </w:r>
            <w:r>
              <w:t>and</w:t>
            </w:r>
            <w:r w:rsidRPr="00577860">
              <w:t xml:space="preserve"> email hotline</w:t>
            </w:r>
            <w:r>
              <w:t>,</w:t>
            </w:r>
            <w:r w:rsidRPr="00577860">
              <w:t xml:space="preserve"> </w:t>
            </w:r>
            <w:r>
              <w:t>and</w:t>
            </w:r>
            <w:r w:rsidRPr="00577860">
              <w:t xml:space="preserve"> online reporting form</w:t>
            </w:r>
          </w:p>
        </w:tc>
        <w:tc>
          <w:tcPr>
            <w:tcW w:w="1540" w:type="dxa"/>
            <w:shd w:val="clear" w:color="auto" w:fill="auto"/>
          </w:tcPr>
          <w:p w14:paraId="0CDA7C56" w14:textId="77777777" w:rsidR="000266D1" w:rsidRPr="00577860" w:rsidRDefault="000266D1" w:rsidP="000266D1">
            <w:pPr>
              <w:pStyle w:val="TableText0"/>
            </w:pPr>
          </w:p>
        </w:tc>
        <w:tc>
          <w:tcPr>
            <w:tcW w:w="1014" w:type="dxa"/>
            <w:shd w:val="clear" w:color="auto" w:fill="auto"/>
          </w:tcPr>
          <w:p w14:paraId="34E09D40" w14:textId="77777777" w:rsidR="000266D1" w:rsidRPr="00577860" w:rsidRDefault="000266D1" w:rsidP="000266D1">
            <w:pPr>
              <w:pStyle w:val="TableText0"/>
            </w:pPr>
          </w:p>
        </w:tc>
        <w:tc>
          <w:tcPr>
            <w:tcW w:w="1198" w:type="dxa"/>
            <w:shd w:val="clear" w:color="auto" w:fill="auto"/>
          </w:tcPr>
          <w:p w14:paraId="27FD67F5" w14:textId="77777777" w:rsidR="000266D1" w:rsidRPr="00577860" w:rsidRDefault="000266D1" w:rsidP="000266D1">
            <w:pPr>
              <w:pStyle w:val="TableText0"/>
            </w:pPr>
          </w:p>
        </w:tc>
        <w:tc>
          <w:tcPr>
            <w:tcW w:w="1778" w:type="dxa"/>
            <w:shd w:val="clear" w:color="auto" w:fill="auto"/>
          </w:tcPr>
          <w:p w14:paraId="3F89F553" w14:textId="77777777" w:rsidR="000266D1" w:rsidRPr="00577860" w:rsidRDefault="000266D1" w:rsidP="000266D1">
            <w:pPr>
              <w:pStyle w:val="TableText0"/>
            </w:pPr>
          </w:p>
        </w:tc>
      </w:tr>
      <w:tr w:rsidR="000266D1" w:rsidRPr="00577860" w14:paraId="3ED64EDB" w14:textId="77777777" w:rsidTr="000266D1">
        <w:trPr>
          <w:cantSplit/>
        </w:trPr>
        <w:tc>
          <w:tcPr>
            <w:tcW w:w="1384" w:type="dxa"/>
            <w:shd w:val="clear" w:color="auto" w:fill="auto"/>
          </w:tcPr>
          <w:p w14:paraId="3C53C4FB" w14:textId="77777777" w:rsidR="000266D1" w:rsidRPr="00577860" w:rsidRDefault="000266D1" w:rsidP="000266D1">
            <w:pPr>
              <w:pStyle w:val="TableText0"/>
            </w:pPr>
            <w:r w:rsidRPr="00577860">
              <w:t>Media</w:t>
            </w:r>
          </w:p>
        </w:tc>
        <w:tc>
          <w:tcPr>
            <w:tcW w:w="2328" w:type="dxa"/>
            <w:shd w:val="clear" w:color="auto" w:fill="auto"/>
          </w:tcPr>
          <w:p w14:paraId="74B8A52D" w14:textId="77777777" w:rsidR="000266D1" w:rsidRPr="00577860" w:rsidRDefault="000266D1" w:rsidP="000266D1">
            <w:pPr>
              <w:pStyle w:val="TableText0"/>
            </w:pPr>
            <w:r w:rsidRPr="00577860">
              <w:t>Media releases as needed</w:t>
            </w:r>
          </w:p>
        </w:tc>
        <w:tc>
          <w:tcPr>
            <w:tcW w:w="1540" w:type="dxa"/>
            <w:shd w:val="clear" w:color="auto" w:fill="auto"/>
          </w:tcPr>
          <w:p w14:paraId="6AA5A0F0" w14:textId="77777777" w:rsidR="000266D1" w:rsidRPr="00577860" w:rsidRDefault="000266D1" w:rsidP="000266D1">
            <w:pPr>
              <w:pStyle w:val="TableText0"/>
            </w:pPr>
          </w:p>
        </w:tc>
        <w:tc>
          <w:tcPr>
            <w:tcW w:w="1014" w:type="dxa"/>
            <w:shd w:val="clear" w:color="auto" w:fill="auto"/>
          </w:tcPr>
          <w:p w14:paraId="6F1BFF1C" w14:textId="77777777" w:rsidR="000266D1" w:rsidRPr="00577860" w:rsidRDefault="000266D1" w:rsidP="000266D1">
            <w:pPr>
              <w:pStyle w:val="TableText0"/>
            </w:pPr>
          </w:p>
        </w:tc>
        <w:tc>
          <w:tcPr>
            <w:tcW w:w="1198" w:type="dxa"/>
            <w:shd w:val="clear" w:color="auto" w:fill="auto"/>
          </w:tcPr>
          <w:p w14:paraId="2016D2E7" w14:textId="77777777" w:rsidR="000266D1" w:rsidRPr="00577860" w:rsidRDefault="000266D1" w:rsidP="000266D1">
            <w:pPr>
              <w:pStyle w:val="TableText0"/>
            </w:pPr>
          </w:p>
        </w:tc>
        <w:tc>
          <w:tcPr>
            <w:tcW w:w="1778" w:type="dxa"/>
            <w:shd w:val="clear" w:color="auto" w:fill="auto"/>
          </w:tcPr>
          <w:p w14:paraId="26A5B9D1" w14:textId="77777777" w:rsidR="000266D1" w:rsidRPr="00577860" w:rsidRDefault="000266D1" w:rsidP="000266D1">
            <w:pPr>
              <w:pStyle w:val="TableText0"/>
            </w:pPr>
          </w:p>
        </w:tc>
      </w:tr>
      <w:tr w:rsidR="000266D1" w:rsidRPr="00577860" w14:paraId="5BC028DC" w14:textId="77777777" w:rsidTr="000266D1">
        <w:trPr>
          <w:cantSplit/>
        </w:trPr>
        <w:tc>
          <w:tcPr>
            <w:tcW w:w="1384" w:type="dxa"/>
            <w:shd w:val="clear" w:color="auto" w:fill="auto"/>
          </w:tcPr>
          <w:p w14:paraId="3E9C0FC9" w14:textId="77777777" w:rsidR="000266D1" w:rsidRPr="00577860" w:rsidRDefault="000266D1" w:rsidP="000266D1">
            <w:pPr>
              <w:pStyle w:val="TableText0"/>
            </w:pPr>
            <w:r w:rsidRPr="00577860">
              <w:t>Face-to-face</w:t>
            </w:r>
          </w:p>
        </w:tc>
        <w:tc>
          <w:tcPr>
            <w:tcW w:w="2328" w:type="dxa"/>
            <w:shd w:val="clear" w:color="auto" w:fill="auto"/>
          </w:tcPr>
          <w:p w14:paraId="04165EE6" w14:textId="77777777" w:rsidR="000266D1" w:rsidRPr="00577860" w:rsidRDefault="000266D1" w:rsidP="000266D1">
            <w:pPr>
              <w:pStyle w:val="TableText0"/>
            </w:pPr>
            <w:r w:rsidRPr="00577860">
              <w:t>Community meeting</w:t>
            </w:r>
          </w:p>
        </w:tc>
        <w:tc>
          <w:tcPr>
            <w:tcW w:w="1540" w:type="dxa"/>
            <w:shd w:val="clear" w:color="auto" w:fill="auto"/>
          </w:tcPr>
          <w:p w14:paraId="69435EF7" w14:textId="77777777" w:rsidR="000266D1" w:rsidRPr="00577860" w:rsidRDefault="000266D1" w:rsidP="000266D1">
            <w:pPr>
              <w:pStyle w:val="TableText0"/>
            </w:pPr>
          </w:p>
        </w:tc>
        <w:tc>
          <w:tcPr>
            <w:tcW w:w="1014" w:type="dxa"/>
            <w:shd w:val="clear" w:color="auto" w:fill="auto"/>
          </w:tcPr>
          <w:p w14:paraId="589F1986" w14:textId="77777777" w:rsidR="000266D1" w:rsidRPr="00577860" w:rsidRDefault="000266D1" w:rsidP="000266D1">
            <w:pPr>
              <w:pStyle w:val="TableText0"/>
            </w:pPr>
          </w:p>
        </w:tc>
        <w:tc>
          <w:tcPr>
            <w:tcW w:w="1198" w:type="dxa"/>
            <w:shd w:val="clear" w:color="auto" w:fill="auto"/>
          </w:tcPr>
          <w:p w14:paraId="6AA303D1" w14:textId="77777777" w:rsidR="000266D1" w:rsidRPr="00577860" w:rsidRDefault="000266D1" w:rsidP="000266D1">
            <w:pPr>
              <w:pStyle w:val="TableText0"/>
            </w:pPr>
          </w:p>
        </w:tc>
        <w:tc>
          <w:tcPr>
            <w:tcW w:w="1778" w:type="dxa"/>
            <w:shd w:val="clear" w:color="auto" w:fill="auto"/>
          </w:tcPr>
          <w:p w14:paraId="0AD65679" w14:textId="77777777" w:rsidR="000266D1" w:rsidRPr="00577860" w:rsidRDefault="000266D1" w:rsidP="000266D1">
            <w:pPr>
              <w:pStyle w:val="TableText0"/>
            </w:pPr>
          </w:p>
        </w:tc>
      </w:tr>
      <w:tr w:rsidR="000266D1" w:rsidRPr="00577860" w14:paraId="07550DE4" w14:textId="77777777" w:rsidTr="000266D1">
        <w:trPr>
          <w:cantSplit/>
        </w:trPr>
        <w:tc>
          <w:tcPr>
            <w:tcW w:w="1384" w:type="dxa"/>
            <w:shd w:val="clear" w:color="auto" w:fill="auto"/>
          </w:tcPr>
          <w:p w14:paraId="75EC7602" w14:textId="77777777" w:rsidR="000266D1" w:rsidRPr="00577860" w:rsidRDefault="000266D1" w:rsidP="000266D1">
            <w:pPr>
              <w:pStyle w:val="TableText0"/>
            </w:pPr>
          </w:p>
        </w:tc>
        <w:tc>
          <w:tcPr>
            <w:tcW w:w="2328" w:type="dxa"/>
            <w:shd w:val="clear" w:color="auto" w:fill="auto"/>
          </w:tcPr>
          <w:p w14:paraId="0B780EC2" w14:textId="77777777" w:rsidR="000266D1" w:rsidRPr="00577860" w:rsidRDefault="000266D1" w:rsidP="000266D1">
            <w:pPr>
              <w:pStyle w:val="TableText0"/>
            </w:pPr>
            <w:r w:rsidRPr="00577860">
              <w:t>Field day</w:t>
            </w:r>
          </w:p>
        </w:tc>
        <w:tc>
          <w:tcPr>
            <w:tcW w:w="1540" w:type="dxa"/>
            <w:shd w:val="clear" w:color="auto" w:fill="auto"/>
          </w:tcPr>
          <w:p w14:paraId="17DAEED6" w14:textId="77777777" w:rsidR="000266D1" w:rsidRPr="00577860" w:rsidRDefault="000266D1" w:rsidP="000266D1">
            <w:pPr>
              <w:pStyle w:val="TableText0"/>
            </w:pPr>
          </w:p>
        </w:tc>
        <w:tc>
          <w:tcPr>
            <w:tcW w:w="1014" w:type="dxa"/>
            <w:shd w:val="clear" w:color="auto" w:fill="auto"/>
          </w:tcPr>
          <w:p w14:paraId="450950B9" w14:textId="77777777" w:rsidR="000266D1" w:rsidRPr="00577860" w:rsidRDefault="000266D1" w:rsidP="000266D1">
            <w:pPr>
              <w:pStyle w:val="TableText0"/>
            </w:pPr>
          </w:p>
        </w:tc>
        <w:tc>
          <w:tcPr>
            <w:tcW w:w="1198" w:type="dxa"/>
            <w:shd w:val="clear" w:color="auto" w:fill="auto"/>
          </w:tcPr>
          <w:p w14:paraId="116A9FE7" w14:textId="77777777" w:rsidR="000266D1" w:rsidRPr="00577860" w:rsidRDefault="000266D1" w:rsidP="000266D1">
            <w:pPr>
              <w:pStyle w:val="TableText0"/>
            </w:pPr>
          </w:p>
        </w:tc>
        <w:tc>
          <w:tcPr>
            <w:tcW w:w="1778" w:type="dxa"/>
            <w:shd w:val="clear" w:color="auto" w:fill="auto"/>
          </w:tcPr>
          <w:p w14:paraId="42851A77" w14:textId="77777777" w:rsidR="000266D1" w:rsidRPr="00577860" w:rsidRDefault="000266D1" w:rsidP="000266D1">
            <w:pPr>
              <w:pStyle w:val="TableText0"/>
            </w:pPr>
          </w:p>
        </w:tc>
      </w:tr>
      <w:tr w:rsidR="000266D1" w:rsidRPr="00577860" w14:paraId="14738592" w14:textId="77777777" w:rsidTr="000266D1">
        <w:trPr>
          <w:cantSplit/>
        </w:trPr>
        <w:tc>
          <w:tcPr>
            <w:tcW w:w="1384" w:type="dxa"/>
            <w:shd w:val="clear" w:color="auto" w:fill="auto"/>
          </w:tcPr>
          <w:p w14:paraId="6502A251" w14:textId="77777777" w:rsidR="000266D1" w:rsidRPr="00577860" w:rsidRDefault="000266D1" w:rsidP="000266D1">
            <w:pPr>
              <w:pStyle w:val="TableText0"/>
            </w:pPr>
          </w:p>
        </w:tc>
        <w:tc>
          <w:tcPr>
            <w:tcW w:w="2328" w:type="dxa"/>
            <w:shd w:val="clear" w:color="auto" w:fill="auto"/>
          </w:tcPr>
          <w:p w14:paraId="3119EA00" w14:textId="77777777" w:rsidR="000266D1" w:rsidRPr="00577860" w:rsidRDefault="000266D1" w:rsidP="000266D1">
            <w:pPr>
              <w:pStyle w:val="TableText0"/>
            </w:pPr>
            <w:r w:rsidRPr="00577860">
              <w:t>Education program</w:t>
            </w:r>
          </w:p>
        </w:tc>
        <w:tc>
          <w:tcPr>
            <w:tcW w:w="1540" w:type="dxa"/>
            <w:shd w:val="clear" w:color="auto" w:fill="auto"/>
          </w:tcPr>
          <w:p w14:paraId="4A32BD0B" w14:textId="77777777" w:rsidR="000266D1" w:rsidRPr="00577860" w:rsidRDefault="000266D1" w:rsidP="000266D1">
            <w:pPr>
              <w:pStyle w:val="TableText0"/>
            </w:pPr>
          </w:p>
        </w:tc>
        <w:tc>
          <w:tcPr>
            <w:tcW w:w="1014" w:type="dxa"/>
            <w:shd w:val="clear" w:color="auto" w:fill="auto"/>
          </w:tcPr>
          <w:p w14:paraId="178B2DEF" w14:textId="77777777" w:rsidR="000266D1" w:rsidRPr="00577860" w:rsidRDefault="000266D1" w:rsidP="000266D1">
            <w:pPr>
              <w:pStyle w:val="TableText0"/>
            </w:pPr>
          </w:p>
        </w:tc>
        <w:tc>
          <w:tcPr>
            <w:tcW w:w="1198" w:type="dxa"/>
            <w:shd w:val="clear" w:color="auto" w:fill="auto"/>
          </w:tcPr>
          <w:p w14:paraId="516DE29E" w14:textId="77777777" w:rsidR="000266D1" w:rsidRPr="00577860" w:rsidRDefault="000266D1" w:rsidP="000266D1">
            <w:pPr>
              <w:pStyle w:val="TableText0"/>
            </w:pPr>
          </w:p>
        </w:tc>
        <w:tc>
          <w:tcPr>
            <w:tcW w:w="1778" w:type="dxa"/>
            <w:shd w:val="clear" w:color="auto" w:fill="auto"/>
          </w:tcPr>
          <w:p w14:paraId="7F9BBB75" w14:textId="77777777" w:rsidR="000266D1" w:rsidRPr="00577860" w:rsidRDefault="000266D1" w:rsidP="000266D1">
            <w:pPr>
              <w:pStyle w:val="TableText0"/>
            </w:pPr>
          </w:p>
        </w:tc>
      </w:tr>
      <w:tr w:rsidR="000266D1" w:rsidRPr="00577860" w14:paraId="3F2DD107" w14:textId="77777777" w:rsidTr="000266D1">
        <w:trPr>
          <w:cantSplit/>
        </w:trPr>
        <w:tc>
          <w:tcPr>
            <w:tcW w:w="1384" w:type="dxa"/>
            <w:shd w:val="clear" w:color="auto" w:fill="auto"/>
          </w:tcPr>
          <w:p w14:paraId="2ED7F480" w14:textId="77777777" w:rsidR="000266D1" w:rsidRPr="00577860" w:rsidRDefault="000266D1" w:rsidP="000266D1">
            <w:pPr>
              <w:pStyle w:val="TableText0"/>
            </w:pPr>
            <w:r w:rsidRPr="00577860">
              <w:t>Signage</w:t>
            </w:r>
          </w:p>
        </w:tc>
        <w:tc>
          <w:tcPr>
            <w:tcW w:w="2328" w:type="dxa"/>
            <w:shd w:val="clear" w:color="auto" w:fill="auto"/>
          </w:tcPr>
          <w:p w14:paraId="2DCBB0C3" w14:textId="77777777" w:rsidR="000266D1" w:rsidRPr="00577860" w:rsidRDefault="000266D1" w:rsidP="000266D1">
            <w:pPr>
              <w:pStyle w:val="TableText0"/>
            </w:pPr>
            <w:r w:rsidRPr="00577860">
              <w:t>Control operations signage</w:t>
            </w:r>
          </w:p>
        </w:tc>
        <w:tc>
          <w:tcPr>
            <w:tcW w:w="1540" w:type="dxa"/>
            <w:shd w:val="clear" w:color="auto" w:fill="auto"/>
          </w:tcPr>
          <w:p w14:paraId="7A48EFA5" w14:textId="77777777" w:rsidR="000266D1" w:rsidRPr="00577860" w:rsidRDefault="000266D1" w:rsidP="000266D1">
            <w:pPr>
              <w:pStyle w:val="TableText0"/>
            </w:pPr>
          </w:p>
        </w:tc>
        <w:tc>
          <w:tcPr>
            <w:tcW w:w="1014" w:type="dxa"/>
            <w:shd w:val="clear" w:color="auto" w:fill="auto"/>
          </w:tcPr>
          <w:p w14:paraId="5B1E7FBB" w14:textId="77777777" w:rsidR="000266D1" w:rsidRPr="00577860" w:rsidRDefault="000266D1" w:rsidP="000266D1">
            <w:pPr>
              <w:pStyle w:val="TableText0"/>
            </w:pPr>
          </w:p>
        </w:tc>
        <w:tc>
          <w:tcPr>
            <w:tcW w:w="1198" w:type="dxa"/>
            <w:shd w:val="clear" w:color="auto" w:fill="auto"/>
          </w:tcPr>
          <w:p w14:paraId="3C170D43" w14:textId="77777777" w:rsidR="000266D1" w:rsidRPr="00577860" w:rsidRDefault="000266D1" w:rsidP="000266D1">
            <w:pPr>
              <w:pStyle w:val="TableText0"/>
            </w:pPr>
          </w:p>
        </w:tc>
        <w:tc>
          <w:tcPr>
            <w:tcW w:w="1778" w:type="dxa"/>
            <w:shd w:val="clear" w:color="auto" w:fill="auto"/>
          </w:tcPr>
          <w:p w14:paraId="5B64A57F" w14:textId="77777777" w:rsidR="000266D1" w:rsidRPr="00577860" w:rsidRDefault="000266D1" w:rsidP="000266D1">
            <w:pPr>
              <w:pStyle w:val="TableText0"/>
            </w:pPr>
          </w:p>
        </w:tc>
      </w:tr>
      <w:tr w:rsidR="000266D1" w:rsidRPr="00577860" w14:paraId="143611EA" w14:textId="77777777" w:rsidTr="000266D1">
        <w:trPr>
          <w:cantSplit/>
        </w:trPr>
        <w:tc>
          <w:tcPr>
            <w:tcW w:w="1384" w:type="dxa"/>
            <w:shd w:val="clear" w:color="auto" w:fill="auto"/>
          </w:tcPr>
          <w:p w14:paraId="5BB8D5DA" w14:textId="77777777" w:rsidR="000266D1" w:rsidRPr="00577860" w:rsidRDefault="000266D1" w:rsidP="000266D1">
            <w:pPr>
              <w:pStyle w:val="TableText0"/>
            </w:pPr>
          </w:p>
        </w:tc>
        <w:tc>
          <w:tcPr>
            <w:tcW w:w="2328" w:type="dxa"/>
            <w:shd w:val="clear" w:color="auto" w:fill="auto"/>
          </w:tcPr>
          <w:p w14:paraId="5CF10401" w14:textId="77777777" w:rsidR="000266D1" w:rsidRPr="00577860" w:rsidRDefault="000266D1" w:rsidP="000266D1">
            <w:pPr>
              <w:pStyle w:val="TableText0"/>
            </w:pPr>
            <w:r w:rsidRPr="00577860">
              <w:t>General awareness signage</w:t>
            </w:r>
          </w:p>
        </w:tc>
        <w:tc>
          <w:tcPr>
            <w:tcW w:w="1540" w:type="dxa"/>
            <w:shd w:val="clear" w:color="auto" w:fill="auto"/>
          </w:tcPr>
          <w:p w14:paraId="25338537" w14:textId="77777777" w:rsidR="000266D1" w:rsidRPr="00577860" w:rsidRDefault="000266D1" w:rsidP="000266D1">
            <w:pPr>
              <w:pStyle w:val="TableText0"/>
            </w:pPr>
          </w:p>
        </w:tc>
        <w:tc>
          <w:tcPr>
            <w:tcW w:w="1014" w:type="dxa"/>
            <w:shd w:val="clear" w:color="auto" w:fill="auto"/>
          </w:tcPr>
          <w:p w14:paraId="448A4335" w14:textId="77777777" w:rsidR="000266D1" w:rsidRPr="00577860" w:rsidRDefault="000266D1" w:rsidP="000266D1">
            <w:pPr>
              <w:pStyle w:val="TableText0"/>
            </w:pPr>
          </w:p>
        </w:tc>
        <w:tc>
          <w:tcPr>
            <w:tcW w:w="1198" w:type="dxa"/>
            <w:shd w:val="clear" w:color="auto" w:fill="auto"/>
          </w:tcPr>
          <w:p w14:paraId="074112E3" w14:textId="77777777" w:rsidR="000266D1" w:rsidRPr="00577860" w:rsidRDefault="000266D1" w:rsidP="000266D1">
            <w:pPr>
              <w:pStyle w:val="TableText0"/>
            </w:pPr>
          </w:p>
        </w:tc>
        <w:tc>
          <w:tcPr>
            <w:tcW w:w="1778" w:type="dxa"/>
            <w:shd w:val="clear" w:color="auto" w:fill="auto"/>
          </w:tcPr>
          <w:p w14:paraId="667E3EA4" w14:textId="77777777" w:rsidR="000266D1" w:rsidRPr="00577860" w:rsidRDefault="000266D1" w:rsidP="000266D1">
            <w:pPr>
              <w:pStyle w:val="TableText0"/>
            </w:pPr>
          </w:p>
        </w:tc>
      </w:tr>
      <w:tr w:rsidR="000266D1" w:rsidRPr="00577860" w14:paraId="56E715E3" w14:textId="77777777" w:rsidTr="000266D1">
        <w:trPr>
          <w:cantSplit/>
        </w:trPr>
        <w:tc>
          <w:tcPr>
            <w:tcW w:w="1384" w:type="dxa"/>
            <w:shd w:val="clear" w:color="auto" w:fill="auto"/>
          </w:tcPr>
          <w:p w14:paraId="795A0CE7" w14:textId="77777777" w:rsidR="000266D1" w:rsidRPr="00577860" w:rsidRDefault="000266D1" w:rsidP="000266D1">
            <w:pPr>
              <w:pStyle w:val="TableText0"/>
            </w:pPr>
            <w:r w:rsidRPr="00577860">
              <w:t>Community updates</w:t>
            </w:r>
          </w:p>
        </w:tc>
        <w:tc>
          <w:tcPr>
            <w:tcW w:w="2328" w:type="dxa"/>
            <w:shd w:val="clear" w:color="auto" w:fill="auto"/>
          </w:tcPr>
          <w:p w14:paraId="0EAE0464" w14:textId="0334CF5D" w:rsidR="000266D1" w:rsidRPr="00577860" w:rsidRDefault="000266D1" w:rsidP="000266D1">
            <w:pPr>
              <w:pStyle w:val="TableText0"/>
            </w:pPr>
            <w:r>
              <w:t>T</w:t>
            </w:r>
            <w:r w:rsidRPr="00577860">
              <w:t>wice-weekly community updates, providing accurate and current information</w:t>
            </w:r>
            <w:r>
              <w:t>,</w:t>
            </w:r>
            <w:r w:rsidRPr="00577860">
              <w:t xml:space="preserve"> and constantly reinforcing the key messages</w:t>
            </w:r>
          </w:p>
        </w:tc>
        <w:tc>
          <w:tcPr>
            <w:tcW w:w="1540" w:type="dxa"/>
            <w:shd w:val="clear" w:color="auto" w:fill="auto"/>
          </w:tcPr>
          <w:p w14:paraId="44EB1737" w14:textId="77777777" w:rsidR="000266D1" w:rsidRPr="00577860" w:rsidRDefault="000266D1" w:rsidP="000266D1">
            <w:pPr>
              <w:pStyle w:val="TableText0"/>
            </w:pPr>
          </w:p>
        </w:tc>
        <w:tc>
          <w:tcPr>
            <w:tcW w:w="1014" w:type="dxa"/>
            <w:shd w:val="clear" w:color="auto" w:fill="auto"/>
          </w:tcPr>
          <w:p w14:paraId="09E67D3D" w14:textId="77777777" w:rsidR="000266D1" w:rsidRPr="00577860" w:rsidRDefault="000266D1" w:rsidP="000266D1">
            <w:pPr>
              <w:pStyle w:val="TableText0"/>
            </w:pPr>
          </w:p>
        </w:tc>
        <w:tc>
          <w:tcPr>
            <w:tcW w:w="1198" w:type="dxa"/>
            <w:shd w:val="clear" w:color="auto" w:fill="auto"/>
          </w:tcPr>
          <w:p w14:paraId="6A5F41FB" w14:textId="77777777" w:rsidR="000266D1" w:rsidRPr="00577860" w:rsidRDefault="000266D1" w:rsidP="000266D1">
            <w:pPr>
              <w:pStyle w:val="TableText0"/>
            </w:pPr>
          </w:p>
        </w:tc>
        <w:tc>
          <w:tcPr>
            <w:tcW w:w="1778" w:type="dxa"/>
            <w:shd w:val="clear" w:color="auto" w:fill="auto"/>
          </w:tcPr>
          <w:p w14:paraId="63733C8F" w14:textId="77777777" w:rsidR="000266D1" w:rsidRPr="00577860" w:rsidRDefault="000266D1" w:rsidP="000266D1">
            <w:pPr>
              <w:pStyle w:val="TableText0"/>
            </w:pPr>
          </w:p>
        </w:tc>
      </w:tr>
      <w:tr w:rsidR="000266D1" w:rsidRPr="00577860" w14:paraId="48A43465" w14:textId="77777777" w:rsidTr="000266D1">
        <w:trPr>
          <w:cantSplit/>
        </w:trPr>
        <w:tc>
          <w:tcPr>
            <w:tcW w:w="1384" w:type="dxa"/>
            <w:shd w:val="clear" w:color="auto" w:fill="auto"/>
          </w:tcPr>
          <w:p w14:paraId="7A3F7A6E" w14:textId="77777777" w:rsidR="000266D1" w:rsidRPr="00577860" w:rsidRDefault="000266D1" w:rsidP="000266D1">
            <w:pPr>
              <w:pStyle w:val="TableText0"/>
            </w:pPr>
          </w:p>
        </w:tc>
        <w:tc>
          <w:tcPr>
            <w:tcW w:w="2328" w:type="dxa"/>
            <w:shd w:val="clear" w:color="auto" w:fill="auto"/>
          </w:tcPr>
          <w:p w14:paraId="7048CD69" w14:textId="77777777" w:rsidR="000266D1" w:rsidRPr="00577860" w:rsidRDefault="000266D1" w:rsidP="000266D1">
            <w:pPr>
              <w:pStyle w:val="TableText0"/>
            </w:pPr>
            <w:r w:rsidRPr="00577860">
              <w:t>Email subscription list</w:t>
            </w:r>
          </w:p>
        </w:tc>
        <w:tc>
          <w:tcPr>
            <w:tcW w:w="1540" w:type="dxa"/>
            <w:shd w:val="clear" w:color="auto" w:fill="auto"/>
          </w:tcPr>
          <w:p w14:paraId="33FD344D" w14:textId="77777777" w:rsidR="000266D1" w:rsidRPr="00577860" w:rsidRDefault="000266D1" w:rsidP="000266D1">
            <w:pPr>
              <w:pStyle w:val="TableText0"/>
            </w:pPr>
          </w:p>
        </w:tc>
        <w:tc>
          <w:tcPr>
            <w:tcW w:w="1014" w:type="dxa"/>
            <w:shd w:val="clear" w:color="auto" w:fill="auto"/>
          </w:tcPr>
          <w:p w14:paraId="13CC2AE4" w14:textId="77777777" w:rsidR="000266D1" w:rsidRPr="00577860" w:rsidRDefault="000266D1" w:rsidP="000266D1">
            <w:pPr>
              <w:pStyle w:val="TableText0"/>
            </w:pPr>
          </w:p>
        </w:tc>
        <w:tc>
          <w:tcPr>
            <w:tcW w:w="1198" w:type="dxa"/>
            <w:shd w:val="clear" w:color="auto" w:fill="auto"/>
          </w:tcPr>
          <w:p w14:paraId="1A963A28" w14:textId="77777777" w:rsidR="000266D1" w:rsidRPr="00577860" w:rsidRDefault="000266D1" w:rsidP="000266D1">
            <w:pPr>
              <w:pStyle w:val="TableText0"/>
            </w:pPr>
          </w:p>
        </w:tc>
        <w:tc>
          <w:tcPr>
            <w:tcW w:w="1778" w:type="dxa"/>
            <w:shd w:val="clear" w:color="auto" w:fill="auto"/>
          </w:tcPr>
          <w:p w14:paraId="1041D565" w14:textId="77777777" w:rsidR="000266D1" w:rsidRPr="00577860" w:rsidRDefault="000266D1" w:rsidP="000266D1">
            <w:pPr>
              <w:pStyle w:val="TableText0"/>
            </w:pPr>
          </w:p>
        </w:tc>
      </w:tr>
      <w:tr w:rsidR="000266D1" w:rsidRPr="00577860" w14:paraId="1BAAFAC8" w14:textId="77777777" w:rsidTr="000266D1">
        <w:trPr>
          <w:cantSplit/>
          <w:trHeight w:val="23"/>
        </w:trPr>
        <w:tc>
          <w:tcPr>
            <w:tcW w:w="1384" w:type="dxa"/>
            <w:tcBorders>
              <w:bottom w:val="single" w:sz="4" w:space="0" w:color="auto"/>
            </w:tcBorders>
            <w:shd w:val="clear" w:color="auto" w:fill="auto"/>
          </w:tcPr>
          <w:p w14:paraId="5E7AE314" w14:textId="77777777" w:rsidR="000266D1" w:rsidRPr="00577860" w:rsidRDefault="000266D1" w:rsidP="000266D1">
            <w:pPr>
              <w:pStyle w:val="TableText0"/>
            </w:pPr>
            <w:r w:rsidRPr="00577860">
              <w:t>Other</w:t>
            </w:r>
          </w:p>
        </w:tc>
        <w:tc>
          <w:tcPr>
            <w:tcW w:w="2328" w:type="dxa"/>
            <w:tcBorders>
              <w:bottom w:val="single" w:sz="4" w:space="0" w:color="auto"/>
            </w:tcBorders>
            <w:shd w:val="clear" w:color="auto" w:fill="auto"/>
          </w:tcPr>
          <w:p w14:paraId="2B664EAF" w14:textId="77777777" w:rsidR="000266D1" w:rsidRPr="00577860" w:rsidRDefault="000266D1" w:rsidP="000266D1">
            <w:pPr>
              <w:pStyle w:val="TableText0"/>
            </w:pPr>
            <w:r w:rsidRPr="00577860">
              <w:t>Facebook</w:t>
            </w:r>
            <w:r>
              <w:t xml:space="preserve">, </w:t>
            </w:r>
            <w:r w:rsidRPr="00577860">
              <w:t>Twitter</w:t>
            </w:r>
            <w:r>
              <w:t xml:space="preserve">, Instagram, </w:t>
            </w:r>
            <w:r w:rsidRPr="00577860">
              <w:t>Flicka</w:t>
            </w:r>
          </w:p>
        </w:tc>
        <w:tc>
          <w:tcPr>
            <w:tcW w:w="1540" w:type="dxa"/>
            <w:tcBorders>
              <w:bottom w:val="single" w:sz="4" w:space="0" w:color="auto"/>
            </w:tcBorders>
            <w:shd w:val="clear" w:color="auto" w:fill="auto"/>
          </w:tcPr>
          <w:p w14:paraId="0EE54FF1" w14:textId="77777777" w:rsidR="000266D1" w:rsidRPr="00577860" w:rsidRDefault="000266D1" w:rsidP="000266D1">
            <w:pPr>
              <w:pStyle w:val="TableText0"/>
            </w:pPr>
          </w:p>
        </w:tc>
        <w:tc>
          <w:tcPr>
            <w:tcW w:w="1014" w:type="dxa"/>
            <w:tcBorders>
              <w:bottom w:val="single" w:sz="4" w:space="0" w:color="auto"/>
            </w:tcBorders>
            <w:shd w:val="clear" w:color="auto" w:fill="auto"/>
          </w:tcPr>
          <w:p w14:paraId="0E388527" w14:textId="77777777" w:rsidR="000266D1" w:rsidRPr="00577860" w:rsidRDefault="000266D1" w:rsidP="000266D1">
            <w:pPr>
              <w:pStyle w:val="TableText0"/>
            </w:pPr>
          </w:p>
        </w:tc>
        <w:tc>
          <w:tcPr>
            <w:tcW w:w="1198" w:type="dxa"/>
            <w:tcBorders>
              <w:bottom w:val="single" w:sz="4" w:space="0" w:color="auto"/>
            </w:tcBorders>
            <w:shd w:val="clear" w:color="auto" w:fill="auto"/>
          </w:tcPr>
          <w:p w14:paraId="2958F047" w14:textId="77777777" w:rsidR="000266D1" w:rsidRPr="00577860" w:rsidRDefault="000266D1" w:rsidP="000266D1">
            <w:pPr>
              <w:pStyle w:val="TableText0"/>
            </w:pPr>
          </w:p>
        </w:tc>
        <w:tc>
          <w:tcPr>
            <w:tcW w:w="1778" w:type="dxa"/>
            <w:tcBorders>
              <w:bottom w:val="single" w:sz="4" w:space="0" w:color="auto"/>
            </w:tcBorders>
            <w:shd w:val="clear" w:color="auto" w:fill="auto"/>
          </w:tcPr>
          <w:p w14:paraId="540695BB" w14:textId="77777777" w:rsidR="000266D1" w:rsidRPr="00577860" w:rsidRDefault="000266D1" w:rsidP="000266D1">
            <w:pPr>
              <w:pStyle w:val="TableText0"/>
            </w:pPr>
          </w:p>
        </w:tc>
      </w:tr>
    </w:tbl>
    <w:p w14:paraId="096387F4" w14:textId="77777777" w:rsidR="000266D1" w:rsidRDefault="000266D1" w:rsidP="000266D1">
      <w:pPr>
        <w:pStyle w:val="ListParagraph"/>
        <w:spacing w:after="120"/>
        <w:ind w:left="360"/>
        <w:rPr>
          <w:rFonts w:cstheme="minorHAnsi"/>
          <w:b/>
          <w:szCs w:val="24"/>
        </w:rPr>
      </w:pPr>
    </w:p>
    <w:p w14:paraId="4A633F15" w14:textId="77777777" w:rsidR="000266D1" w:rsidRDefault="000266D1" w:rsidP="000266D1">
      <w:pPr>
        <w:pStyle w:val="Heading3a"/>
      </w:pPr>
      <w:r>
        <w:t>Performance i</w:t>
      </w:r>
      <w:r w:rsidRPr="00577860">
        <w:t>ndicators and milestones</w:t>
      </w:r>
    </w:p>
    <w:p w14:paraId="7DBC4CD3" w14:textId="77777777" w:rsidR="000266D1" w:rsidRPr="00577860" w:rsidRDefault="000266D1" w:rsidP="000266D1">
      <w:pPr>
        <w:pStyle w:val="Heading3a"/>
      </w:pPr>
      <w:r w:rsidRPr="00577860">
        <w:t>Budget</w:t>
      </w:r>
    </w:p>
    <w:p w14:paraId="3BDC2BCB" w14:textId="77777777" w:rsidR="000266D1" w:rsidRPr="00577860" w:rsidRDefault="000266D1" w:rsidP="000266D1">
      <w:r w:rsidRPr="00577860">
        <w:t>Detailed budget that attributes cost to each activity</w:t>
      </w:r>
    </w:p>
    <w:p w14:paraId="23EB651E" w14:textId="5817B2D8" w:rsidR="009C20E6" w:rsidRDefault="00A80AEB" w:rsidP="00A80AEB">
      <w:pPr>
        <w:pStyle w:val="Heading1"/>
      </w:pPr>
      <w:bookmarkStart w:id="129" w:name="_Toc529783802"/>
      <w:r>
        <w:t xml:space="preserve">Appendix </w:t>
      </w:r>
      <w:r w:rsidR="000266D1">
        <w:t>6</w:t>
      </w:r>
      <w:r>
        <w:tab/>
      </w:r>
      <w:r w:rsidR="009C20E6">
        <w:t>Incident Action Plan template for use at LCC level</w:t>
      </w:r>
      <w:bookmarkEnd w:id="129"/>
    </w:p>
    <w:bookmarkEnd w:id="101"/>
    <w:p w14:paraId="307FE396" w14:textId="60D9C460" w:rsidR="00344304" w:rsidRPr="006E6925" w:rsidRDefault="00E91DD1" w:rsidP="006E6925">
      <w:pPr>
        <w:spacing w:after="120"/>
      </w:pPr>
      <w:r>
        <w:t>This is a generic template for an Incident Action Plan (IAP), which should b</w:t>
      </w:r>
      <w:r w:rsidR="00344304" w:rsidRPr="006E6925">
        <w:t xml:space="preserve">e completed by </w:t>
      </w:r>
      <w:r>
        <w:t xml:space="preserve">appropriately </w:t>
      </w:r>
      <w:r w:rsidR="00344304" w:rsidRPr="006E6925">
        <w:t>trained</w:t>
      </w:r>
      <w:r w:rsidR="008D68A7" w:rsidRPr="006E6925">
        <w:t xml:space="preserve"> and </w:t>
      </w:r>
      <w:r w:rsidR="00BA3C85" w:rsidRPr="006E6925">
        <w:t>qualified</w:t>
      </w:r>
      <w:r w:rsidR="00344304" w:rsidRPr="006E6925">
        <w:t xml:space="preserve"> personnel</w:t>
      </w:r>
      <w:r>
        <w:t>.</w:t>
      </w:r>
    </w:p>
    <w:p w14:paraId="44215AAB" w14:textId="7474A81A" w:rsidR="00D41D07" w:rsidRPr="007F1C79" w:rsidRDefault="00D41D07" w:rsidP="007F1C79">
      <w:pPr>
        <w:pStyle w:val="NormalBeforeBullet"/>
        <w:rPr>
          <w:b/>
          <w:noProof/>
        </w:rPr>
      </w:pPr>
      <w:r w:rsidRPr="007F1C79">
        <w:rPr>
          <w:b/>
          <w:noProof/>
        </w:rPr>
        <w:t>Cover page</w:t>
      </w:r>
      <w:r w:rsidR="000958B1">
        <w:rPr>
          <w:b/>
          <w:noProof/>
        </w:rPr>
        <w:t>:</w:t>
      </w:r>
    </w:p>
    <w:p w14:paraId="0F5DD7D4" w14:textId="7E6A03D1" w:rsidR="00D41D07" w:rsidRPr="006E6925" w:rsidRDefault="00D41D07" w:rsidP="00E91DD1">
      <w:pPr>
        <w:pStyle w:val="Bullet"/>
      </w:pPr>
      <w:r w:rsidRPr="006E6925">
        <w:rPr>
          <w:noProof/>
        </w:rPr>
        <w:t>Agency logo and letterhead</w:t>
      </w:r>
    </w:p>
    <w:p w14:paraId="58461A80" w14:textId="1D4F6EEB" w:rsidR="00D41D07" w:rsidRPr="006E6925" w:rsidRDefault="00D41D07" w:rsidP="00E91DD1">
      <w:pPr>
        <w:pStyle w:val="Bullet"/>
        <w:rPr>
          <w:rFonts w:cs="Arial"/>
        </w:rPr>
      </w:pPr>
      <w:r w:rsidRPr="006E6925">
        <w:rPr>
          <w:rFonts w:cs="Arial"/>
        </w:rPr>
        <w:t xml:space="preserve">Local Control Centre </w:t>
      </w:r>
      <w:r w:rsidR="00230CCC">
        <w:rPr>
          <w:rFonts w:cs="Arial"/>
        </w:rPr>
        <w:t xml:space="preserve">(LCC) </w:t>
      </w:r>
      <w:r w:rsidR="000C626D">
        <w:rPr>
          <w:rFonts w:cs="Arial"/>
        </w:rPr>
        <w:t>name</w:t>
      </w:r>
      <w:r w:rsidR="00230CCC">
        <w:rPr>
          <w:rFonts w:cs="Arial"/>
        </w:rPr>
        <w:t xml:space="preserve"> and </w:t>
      </w:r>
      <w:r w:rsidR="000C626D">
        <w:rPr>
          <w:rFonts w:cs="Arial"/>
        </w:rPr>
        <w:t>location</w:t>
      </w:r>
    </w:p>
    <w:p w14:paraId="2FC6EF25" w14:textId="5273B39F" w:rsidR="00D41D07" w:rsidRPr="006E6925" w:rsidRDefault="00D41D07" w:rsidP="00E91DD1">
      <w:pPr>
        <w:pStyle w:val="Bullet"/>
        <w:rPr>
          <w:rFonts w:cs="Arial"/>
        </w:rPr>
      </w:pPr>
      <w:r w:rsidRPr="006E6925">
        <w:rPr>
          <w:rFonts w:cs="Arial"/>
        </w:rPr>
        <w:t>Address and contact details</w:t>
      </w:r>
    </w:p>
    <w:p w14:paraId="74B308D9" w14:textId="6D4AB68F" w:rsidR="00D41D07" w:rsidRDefault="00D41D07" w:rsidP="00230CCC">
      <w:pPr>
        <w:pStyle w:val="BulletLast"/>
      </w:pPr>
      <w:r w:rsidRPr="00230CCC">
        <w:t xml:space="preserve">Response </w:t>
      </w:r>
      <w:r w:rsidR="00230CCC" w:rsidRPr="00230CCC">
        <w:t>t</w:t>
      </w:r>
      <w:r w:rsidRPr="00230CCC">
        <w:t xml:space="preserve">itle </w:t>
      </w:r>
      <w:r w:rsidR="00230CCC" w:rsidRPr="00230CCC">
        <w:t>h</w:t>
      </w:r>
      <w:r w:rsidRPr="00230CCC">
        <w:t>azard</w:t>
      </w:r>
      <w:r w:rsidR="008D68A7" w:rsidRPr="00230CCC">
        <w:t xml:space="preserve"> </w:t>
      </w:r>
      <w:r w:rsidR="00230CCC" w:rsidRPr="00230CCC">
        <w:t>or i</w:t>
      </w:r>
      <w:r w:rsidRPr="00230CCC">
        <w:t xml:space="preserve">ncident </w:t>
      </w:r>
      <w:r w:rsidR="00230CCC" w:rsidRPr="00230CCC">
        <w:t>n</w:t>
      </w:r>
      <w:r w:rsidRPr="00230CCC">
        <w:t>ame</w:t>
      </w:r>
      <w:r w:rsidR="00230CCC" w:rsidRPr="00230CCC">
        <w:t>,</w:t>
      </w:r>
      <w:r w:rsidRPr="00230CCC">
        <w:t xml:space="preserve"> if applicable</w:t>
      </w:r>
    </w:p>
    <w:p w14:paraId="794B947E" w14:textId="5B2127FB" w:rsidR="000958B1" w:rsidRDefault="000958B1" w:rsidP="000958B1">
      <w:pPr>
        <w:pStyle w:val="NormalBeforeBullet"/>
        <w:rPr>
          <w:b/>
          <w:noProof/>
        </w:rPr>
      </w:pPr>
      <w:r>
        <w:rPr>
          <w:b/>
          <w:noProof/>
        </w:rPr>
        <w:t>Location:</w:t>
      </w:r>
    </w:p>
    <w:p w14:paraId="5E78CB6E" w14:textId="1B861ED8" w:rsidR="000958B1" w:rsidRDefault="000958B1" w:rsidP="000958B1">
      <w:pPr>
        <w:pStyle w:val="NormalBeforeBullet"/>
        <w:rPr>
          <w:b/>
          <w:noProof/>
        </w:rPr>
      </w:pPr>
      <w:r>
        <w:rPr>
          <w:b/>
          <w:noProof/>
        </w:rPr>
        <w:t>Control level:</w:t>
      </w:r>
    </w:p>
    <w:p w14:paraId="2207AD0A" w14:textId="00B8B285" w:rsidR="000958B1" w:rsidRDefault="000958B1" w:rsidP="000958B1">
      <w:pPr>
        <w:pStyle w:val="NormalBeforeBullet"/>
        <w:rPr>
          <w:b/>
          <w:noProof/>
        </w:rPr>
      </w:pPr>
      <w:r>
        <w:rPr>
          <w:b/>
          <w:noProof/>
        </w:rPr>
        <w:t>Operational period – From:                            To:</w:t>
      </w:r>
    </w:p>
    <w:p w14:paraId="48A54AF8" w14:textId="5CC622EC" w:rsidR="00EA3F63" w:rsidRPr="000958B1" w:rsidRDefault="00EA3F63" w:rsidP="00EA3F63">
      <w:pPr>
        <w:pStyle w:val="TableName"/>
        <w:rPr>
          <w:noProof/>
        </w:rPr>
      </w:pPr>
      <w:bookmarkStart w:id="130" w:name="_Toc527712887"/>
      <w:r>
        <w:rPr>
          <w:noProof/>
        </w:rPr>
        <w:t>Table A6.1</w:t>
      </w:r>
      <w:r>
        <w:rPr>
          <w:noProof/>
        </w:rPr>
        <w:tab/>
        <w:t>Incident Action Plan</w:t>
      </w:r>
      <w:bookmarkEnd w:id="130"/>
    </w:p>
    <w:tbl>
      <w:tblPr>
        <w:tblW w:w="0" w:type="auto"/>
        <w:tblLook w:val="01E0" w:firstRow="1" w:lastRow="1" w:firstColumn="1" w:lastColumn="1" w:noHBand="0" w:noVBand="0"/>
      </w:tblPr>
      <w:tblGrid>
        <w:gridCol w:w="2943"/>
        <w:gridCol w:w="2736"/>
        <w:gridCol w:w="3317"/>
      </w:tblGrid>
      <w:tr w:rsidR="00BA3C85" w:rsidRPr="00E43C2B" w14:paraId="22FEC2FA" w14:textId="77777777" w:rsidTr="006E645C">
        <w:trPr>
          <w:cantSplit/>
        </w:trPr>
        <w:tc>
          <w:tcPr>
            <w:tcW w:w="8996" w:type="dxa"/>
            <w:gridSpan w:val="3"/>
            <w:tcBorders>
              <w:top w:val="single" w:sz="4" w:space="0" w:color="auto"/>
            </w:tcBorders>
            <w:shd w:val="clear" w:color="auto" w:fill="D9D9D9" w:themeFill="background1" w:themeFillShade="D9"/>
          </w:tcPr>
          <w:p w14:paraId="0655C1F7" w14:textId="77CD70B9" w:rsidR="00BA3C85" w:rsidRPr="007F1C79" w:rsidRDefault="007F1C79" w:rsidP="000958B1">
            <w:pPr>
              <w:pStyle w:val="TableText0"/>
              <w:keepNext w:val="0"/>
              <w:rPr>
                <w:b/>
              </w:rPr>
            </w:pPr>
            <w:r w:rsidRPr="007F1C79">
              <w:rPr>
                <w:b/>
              </w:rPr>
              <w:t>Situation</w:t>
            </w:r>
          </w:p>
        </w:tc>
      </w:tr>
      <w:tr w:rsidR="00344304" w:rsidRPr="00E43C2B" w14:paraId="3A02E376" w14:textId="77777777" w:rsidTr="006E645C">
        <w:trPr>
          <w:cantSplit/>
          <w:trHeight w:val="726"/>
        </w:trPr>
        <w:tc>
          <w:tcPr>
            <w:tcW w:w="2943" w:type="dxa"/>
            <w:vMerge w:val="restart"/>
            <w:shd w:val="clear" w:color="auto" w:fill="auto"/>
          </w:tcPr>
          <w:p w14:paraId="66B2E38F" w14:textId="1DBDF3C6" w:rsidR="00344304" w:rsidRPr="007F1C79" w:rsidRDefault="00344304" w:rsidP="000958B1">
            <w:pPr>
              <w:pStyle w:val="TableText0"/>
              <w:keepNext w:val="0"/>
            </w:pPr>
            <w:r w:rsidRPr="007F1C79">
              <w:t>Disease, community, environment</w:t>
            </w:r>
          </w:p>
          <w:p w14:paraId="77D0BF9C" w14:textId="112B474A" w:rsidR="00344304" w:rsidRPr="007F1C79" w:rsidRDefault="00344304" w:rsidP="000958B1">
            <w:pPr>
              <w:pStyle w:val="TableText0"/>
              <w:keepNext w:val="0"/>
            </w:pPr>
            <w:r w:rsidRPr="007F1C79">
              <w:t xml:space="preserve">Weather, disease trends, </w:t>
            </w:r>
            <w:r w:rsidR="007F1C79">
              <w:t>r</w:t>
            </w:r>
            <w:r w:rsidRPr="007F1C79">
              <w:t xml:space="preserve">esources, </w:t>
            </w:r>
            <w:r w:rsidR="007F1C79">
              <w:t>h</w:t>
            </w:r>
            <w:r w:rsidRPr="007F1C79">
              <w:t xml:space="preserve">azards </w:t>
            </w:r>
            <w:r w:rsidR="007F1C79">
              <w:t>and</w:t>
            </w:r>
            <w:r w:rsidRPr="007F1C79">
              <w:t xml:space="preserve"> safety</w:t>
            </w:r>
          </w:p>
          <w:p w14:paraId="0D52085A" w14:textId="074E2CA1" w:rsidR="00344304" w:rsidRPr="007F1C79" w:rsidRDefault="007F1C79" w:rsidP="000958B1">
            <w:pPr>
              <w:pStyle w:val="TableText0"/>
              <w:keepNext w:val="0"/>
            </w:pPr>
            <w:r w:rsidRPr="007F1C79">
              <w:t>Reference</w:t>
            </w:r>
            <w:r>
              <w:t>:</w:t>
            </w:r>
          </w:p>
          <w:p w14:paraId="53F30290" w14:textId="445A9462" w:rsidR="00344304" w:rsidRPr="007F1C79" w:rsidRDefault="00344304" w:rsidP="007F061C">
            <w:pPr>
              <w:pStyle w:val="TableBullet"/>
            </w:pPr>
            <w:r w:rsidRPr="007F1C79">
              <w:t xml:space="preserve">Maps, weather reports, </w:t>
            </w:r>
            <w:r w:rsidR="007F1C79">
              <w:t>s</w:t>
            </w:r>
            <w:r w:rsidRPr="007F1C79">
              <w:t>itreps, appreciation, warnings, alerts</w:t>
            </w:r>
          </w:p>
        </w:tc>
        <w:tc>
          <w:tcPr>
            <w:tcW w:w="6053" w:type="dxa"/>
            <w:gridSpan w:val="2"/>
            <w:shd w:val="clear" w:color="auto" w:fill="auto"/>
          </w:tcPr>
          <w:p w14:paraId="3A99D165" w14:textId="16D813A4" w:rsidR="00FF05A8" w:rsidRPr="007F1C79" w:rsidRDefault="007F1C79" w:rsidP="000958B1">
            <w:pPr>
              <w:pStyle w:val="TableText0"/>
              <w:keepNext w:val="0"/>
            </w:pPr>
            <w:r w:rsidRPr="007F1C79">
              <w:t>Current</w:t>
            </w:r>
          </w:p>
        </w:tc>
      </w:tr>
      <w:tr w:rsidR="00344304" w:rsidRPr="00E43C2B" w14:paraId="75F18A03" w14:textId="77777777" w:rsidTr="006E645C">
        <w:trPr>
          <w:cantSplit/>
          <w:trHeight w:val="690"/>
        </w:trPr>
        <w:tc>
          <w:tcPr>
            <w:tcW w:w="2943" w:type="dxa"/>
            <w:vMerge/>
            <w:tcBorders>
              <w:bottom w:val="single" w:sz="4" w:space="0" w:color="auto"/>
            </w:tcBorders>
            <w:shd w:val="clear" w:color="auto" w:fill="auto"/>
          </w:tcPr>
          <w:p w14:paraId="1BDD028E" w14:textId="77777777" w:rsidR="00344304" w:rsidRPr="007F1C79" w:rsidRDefault="00344304" w:rsidP="000958B1">
            <w:pPr>
              <w:pStyle w:val="TableText0"/>
              <w:keepNext w:val="0"/>
            </w:pPr>
          </w:p>
        </w:tc>
        <w:tc>
          <w:tcPr>
            <w:tcW w:w="6053" w:type="dxa"/>
            <w:gridSpan w:val="2"/>
            <w:tcBorders>
              <w:bottom w:val="single" w:sz="4" w:space="0" w:color="auto"/>
            </w:tcBorders>
            <w:shd w:val="clear" w:color="auto" w:fill="auto"/>
          </w:tcPr>
          <w:p w14:paraId="0FA2DC7E" w14:textId="452323AE" w:rsidR="00FF05A8" w:rsidRPr="007F1C79" w:rsidRDefault="007F1C79" w:rsidP="000958B1">
            <w:pPr>
              <w:pStyle w:val="TableText0"/>
              <w:keepNext w:val="0"/>
            </w:pPr>
            <w:r w:rsidRPr="007F1C79">
              <w:t>Predicted</w:t>
            </w:r>
          </w:p>
        </w:tc>
      </w:tr>
      <w:tr w:rsidR="00BA3C85" w:rsidRPr="007F1C79" w14:paraId="6EDD5613" w14:textId="77777777" w:rsidTr="006E645C">
        <w:trPr>
          <w:cantSplit/>
        </w:trPr>
        <w:tc>
          <w:tcPr>
            <w:tcW w:w="8996" w:type="dxa"/>
            <w:gridSpan w:val="3"/>
            <w:tcBorders>
              <w:top w:val="single" w:sz="4" w:space="0" w:color="auto"/>
            </w:tcBorders>
            <w:shd w:val="clear" w:color="auto" w:fill="D9D9D9" w:themeFill="background1" w:themeFillShade="D9"/>
          </w:tcPr>
          <w:p w14:paraId="491612D5" w14:textId="3D964951" w:rsidR="00BA3C85" w:rsidRPr="007F1C79" w:rsidRDefault="007F1C79" w:rsidP="000958B1">
            <w:pPr>
              <w:pStyle w:val="TableText0"/>
              <w:keepNext w:val="0"/>
              <w:rPr>
                <w:b/>
              </w:rPr>
            </w:pPr>
            <w:r w:rsidRPr="007F1C79">
              <w:rPr>
                <w:b/>
              </w:rPr>
              <w:t xml:space="preserve">Aim </w:t>
            </w:r>
            <w:r w:rsidR="008D68A7" w:rsidRPr="007F1C79">
              <w:rPr>
                <w:b/>
              </w:rPr>
              <w:t>and</w:t>
            </w:r>
            <w:r w:rsidR="00BA3C85" w:rsidRPr="007F1C79">
              <w:rPr>
                <w:b/>
              </w:rPr>
              <w:t xml:space="preserve"> </w:t>
            </w:r>
            <w:r w:rsidR="00E46A79" w:rsidRPr="007F1C79">
              <w:rPr>
                <w:b/>
              </w:rPr>
              <w:t xml:space="preserve">objectives </w:t>
            </w:r>
            <w:r w:rsidRPr="007F1C79">
              <w:rPr>
                <w:b/>
              </w:rPr>
              <w:t>(or mission)</w:t>
            </w:r>
          </w:p>
        </w:tc>
      </w:tr>
      <w:tr w:rsidR="00344304" w:rsidRPr="00E43C2B" w14:paraId="4DC9419A" w14:textId="77777777" w:rsidTr="006E645C">
        <w:trPr>
          <w:cantSplit/>
          <w:trHeight w:val="366"/>
        </w:trPr>
        <w:tc>
          <w:tcPr>
            <w:tcW w:w="2943" w:type="dxa"/>
            <w:vMerge w:val="restart"/>
            <w:shd w:val="clear" w:color="auto" w:fill="auto"/>
          </w:tcPr>
          <w:p w14:paraId="56C950EF" w14:textId="61FB5DC6" w:rsidR="00344304" w:rsidRPr="007F1C79" w:rsidRDefault="00344304" w:rsidP="000958B1">
            <w:pPr>
              <w:pStyle w:val="TableText0"/>
              <w:keepNext w:val="0"/>
            </w:pPr>
            <w:r w:rsidRPr="007F1C79">
              <w:t xml:space="preserve">Time </w:t>
            </w:r>
            <w:r w:rsidR="007F1C79">
              <w:t>and</w:t>
            </w:r>
            <w:r w:rsidRPr="007F1C79">
              <w:t xml:space="preserve"> space</w:t>
            </w:r>
            <w:r w:rsidR="00BA3C85" w:rsidRPr="007F1C79">
              <w:t xml:space="preserve">; </w:t>
            </w:r>
            <w:r w:rsidRPr="007F1C79">
              <w:t>SMART</w:t>
            </w:r>
          </w:p>
          <w:p w14:paraId="2CC4D42D" w14:textId="2FF23F9C" w:rsidR="00344304" w:rsidRPr="007F1C79" w:rsidRDefault="007F1C79" w:rsidP="000958B1">
            <w:pPr>
              <w:pStyle w:val="TableText0"/>
              <w:keepNext w:val="0"/>
            </w:pPr>
            <w:r w:rsidRPr="007F1C79">
              <w:t>Reference</w:t>
            </w:r>
            <w:r>
              <w:t>:</w:t>
            </w:r>
          </w:p>
          <w:p w14:paraId="160C917A" w14:textId="03B55304" w:rsidR="00344304" w:rsidRPr="00E43C2B" w:rsidRDefault="00344304" w:rsidP="007F061C">
            <w:pPr>
              <w:pStyle w:val="TableBullet"/>
              <w:rPr>
                <w:sz w:val="28"/>
                <w:szCs w:val="28"/>
              </w:rPr>
            </w:pPr>
            <w:r w:rsidRPr="007F1C79">
              <w:t>Strategy</w:t>
            </w:r>
            <w:r w:rsidR="007F1C79">
              <w:t xml:space="preserve">, </w:t>
            </w:r>
            <w:r w:rsidRPr="007F1C79">
              <w:t>tactics</w:t>
            </w:r>
            <w:r w:rsidR="007F1C79">
              <w:t>,</w:t>
            </w:r>
            <w:r w:rsidRPr="007F1C79">
              <w:t xml:space="preserve"> appreciations</w:t>
            </w:r>
          </w:p>
        </w:tc>
        <w:tc>
          <w:tcPr>
            <w:tcW w:w="6053" w:type="dxa"/>
            <w:gridSpan w:val="2"/>
            <w:shd w:val="clear" w:color="auto" w:fill="auto"/>
          </w:tcPr>
          <w:p w14:paraId="1DA493DD" w14:textId="570A017C" w:rsidR="00344304" w:rsidRPr="004914AE" w:rsidRDefault="007F1C79" w:rsidP="000958B1">
            <w:pPr>
              <w:pStyle w:val="TableText0"/>
              <w:keepNext w:val="0"/>
            </w:pPr>
            <w:r w:rsidRPr="004914AE">
              <w:t>Current</w:t>
            </w:r>
          </w:p>
        </w:tc>
      </w:tr>
      <w:tr w:rsidR="00344304" w:rsidRPr="00E43C2B" w14:paraId="0159A757" w14:textId="77777777" w:rsidTr="006E645C">
        <w:trPr>
          <w:cantSplit/>
          <w:trHeight w:val="303"/>
        </w:trPr>
        <w:tc>
          <w:tcPr>
            <w:tcW w:w="2943" w:type="dxa"/>
            <w:vMerge/>
            <w:tcBorders>
              <w:bottom w:val="single" w:sz="4" w:space="0" w:color="auto"/>
            </w:tcBorders>
            <w:shd w:val="clear" w:color="auto" w:fill="auto"/>
          </w:tcPr>
          <w:p w14:paraId="3CE69340" w14:textId="77777777" w:rsidR="00344304" w:rsidRPr="00E43C2B" w:rsidRDefault="00344304" w:rsidP="000958B1">
            <w:pPr>
              <w:pStyle w:val="TableText0"/>
              <w:keepNext w:val="0"/>
              <w:rPr>
                <w:sz w:val="28"/>
                <w:szCs w:val="28"/>
              </w:rPr>
            </w:pPr>
          </w:p>
        </w:tc>
        <w:tc>
          <w:tcPr>
            <w:tcW w:w="6053" w:type="dxa"/>
            <w:gridSpan w:val="2"/>
            <w:tcBorders>
              <w:bottom w:val="single" w:sz="4" w:space="0" w:color="auto"/>
            </w:tcBorders>
            <w:shd w:val="clear" w:color="auto" w:fill="auto"/>
          </w:tcPr>
          <w:p w14:paraId="74ABE413" w14:textId="7F7B76FA" w:rsidR="00344304" w:rsidRPr="004914AE" w:rsidRDefault="007F1C79" w:rsidP="000958B1">
            <w:pPr>
              <w:pStyle w:val="TableText0"/>
              <w:keepNext w:val="0"/>
            </w:pPr>
            <w:r w:rsidRPr="004914AE">
              <w:t>Alternat</w:t>
            </w:r>
            <w:r>
              <w:t>iv</w:t>
            </w:r>
            <w:r w:rsidRPr="004914AE">
              <w:t>e</w:t>
            </w:r>
          </w:p>
        </w:tc>
      </w:tr>
      <w:tr w:rsidR="00344304" w:rsidRPr="007F1C79" w14:paraId="120023F3" w14:textId="77777777" w:rsidTr="006E645C">
        <w:trPr>
          <w:cantSplit/>
        </w:trPr>
        <w:tc>
          <w:tcPr>
            <w:tcW w:w="8996" w:type="dxa"/>
            <w:gridSpan w:val="3"/>
            <w:tcBorders>
              <w:top w:val="single" w:sz="4" w:space="0" w:color="auto"/>
            </w:tcBorders>
            <w:shd w:val="clear" w:color="auto" w:fill="D9D9D9" w:themeFill="background1" w:themeFillShade="D9"/>
          </w:tcPr>
          <w:p w14:paraId="3C0474C3" w14:textId="1E371485" w:rsidR="00344304" w:rsidRPr="007F1C79" w:rsidRDefault="00344304" w:rsidP="000958B1">
            <w:pPr>
              <w:pStyle w:val="TableText0"/>
              <w:keepNext w:val="0"/>
              <w:rPr>
                <w:b/>
              </w:rPr>
            </w:pPr>
            <w:r w:rsidRPr="007F1C79">
              <w:rPr>
                <w:b/>
              </w:rPr>
              <w:t xml:space="preserve"> </w:t>
            </w:r>
            <w:r w:rsidR="007F1C79" w:rsidRPr="007F1C79">
              <w:rPr>
                <w:b/>
              </w:rPr>
              <w:t xml:space="preserve">Execution </w:t>
            </w:r>
            <w:r w:rsidR="007F1C79">
              <w:rPr>
                <w:b/>
              </w:rPr>
              <w:t>(</w:t>
            </w:r>
            <w:r w:rsidR="004914AE" w:rsidRPr="007F1C79">
              <w:rPr>
                <w:b/>
              </w:rPr>
              <w:t xml:space="preserve">add </w:t>
            </w:r>
            <w:r w:rsidRPr="007F1C79">
              <w:rPr>
                <w:b/>
              </w:rPr>
              <w:t>safety information as appropriate</w:t>
            </w:r>
            <w:r w:rsidR="007F1C79">
              <w:rPr>
                <w:b/>
              </w:rPr>
              <w:t>)</w:t>
            </w:r>
          </w:p>
        </w:tc>
      </w:tr>
      <w:tr w:rsidR="00344304" w:rsidRPr="007F1C79" w14:paraId="2F53DEDD" w14:textId="77777777" w:rsidTr="006E645C">
        <w:trPr>
          <w:cantSplit/>
          <w:trHeight w:val="2058"/>
        </w:trPr>
        <w:tc>
          <w:tcPr>
            <w:tcW w:w="2943" w:type="dxa"/>
            <w:shd w:val="clear" w:color="auto" w:fill="auto"/>
          </w:tcPr>
          <w:p w14:paraId="6C2EA280" w14:textId="3A696DEB" w:rsidR="00344304" w:rsidRPr="007F1C79" w:rsidRDefault="007F1C79" w:rsidP="000958B1">
            <w:pPr>
              <w:pStyle w:val="TableText0"/>
              <w:keepNext w:val="0"/>
            </w:pPr>
            <w:r w:rsidRPr="007F1C79">
              <w:t>General outline</w:t>
            </w:r>
          </w:p>
          <w:p w14:paraId="1624BF65" w14:textId="4726839A" w:rsidR="006E6925" w:rsidRPr="007F1C79" w:rsidRDefault="00344304" w:rsidP="007F061C">
            <w:pPr>
              <w:pStyle w:val="TableBullet"/>
            </w:pPr>
            <w:r w:rsidRPr="007F1C79">
              <w:t>What</w:t>
            </w:r>
            <w:r w:rsidR="007F1C79">
              <w:t>,</w:t>
            </w:r>
            <w:r w:rsidRPr="007F1C79">
              <w:t xml:space="preserve"> </w:t>
            </w:r>
            <w:r w:rsidR="007F1C79" w:rsidRPr="007F1C79">
              <w:t>where</w:t>
            </w:r>
            <w:r w:rsidR="007F1C79">
              <w:t>,</w:t>
            </w:r>
            <w:r w:rsidR="007F1C79" w:rsidRPr="007F1C79">
              <w:t xml:space="preserve"> when</w:t>
            </w:r>
            <w:r w:rsidR="007F1C79">
              <w:t>,</w:t>
            </w:r>
            <w:r w:rsidR="007F1C79" w:rsidRPr="007F1C79">
              <w:t xml:space="preserve"> who</w:t>
            </w:r>
            <w:r w:rsidRPr="007F1C79">
              <w:t xml:space="preserve"> taskings for tactics </w:t>
            </w:r>
            <w:r w:rsidR="007F1C79">
              <w:t>(</w:t>
            </w:r>
            <w:r w:rsidRPr="007F1C79">
              <w:t>eg</w:t>
            </w:r>
            <w:r w:rsidR="007F1C79">
              <w:t> </w:t>
            </w:r>
            <w:r w:rsidRPr="007F1C79">
              <w:t>surveillance, vaccination</w:t>
            </w:r>
            <w:r w:rsidR="007F1C79">
              <w:t>) –</w:t>
            </w:r>
            <w:r w:rsidRPr="007F1C79">
              <w:t xml:space="preserve"> current</w:t>
            </w:r>
            <w:r w:rsidR="00DA7BE2">
              <w:t xml:space="preserve">, </w:t>
            </w:r>
            <w:r w:rsidRPr="007F1C79">
              <w:t>proposed</w:t>
            </w:r>
            <w:r w:rsidR="00DA7BE2">
              <w:t xml:space="preserve">, </w:t>
            </w:r>
            <w:r w:rsidRPr="007F1C79">
              <w:t>alternat</w:t>
            </w:r>
            <w:r w:rsidR="00DA7BE2">
              <w:t>ive</w:t>
            </w:r>
          </w:p>
          <w:p w14:paraId="4ECC1BFE" w14:textId="7C1D74FB" w:rsidR="00344304" w:rsidRPr="007F1C79" w:rsidRDefault="007F1C79" w:rsidP="000958B1">
            <w:pPr>
              <w:pStyle w:val="TableText0"/>
              <w:keepNext w:val="0"/>
            </w:pPr>
            <w:r w:rsidRPr="007F1C79">
              <w:t>Reference</w:t>
            </w:r>
            <w:r>
              <w:t>:</w:t>
            </w:r>
          </w:p>
          <w:p w14:paraId="2E0A6887" w14:textId="1574EA8E" w:rsidR="00344304" w:rsidRPr="007F1C79" w:rsidRDefault="00344304" w:rsidP="007F061C">
            <w:pPr>
              <w:pStyle w:val="TableBullet"/>
            </w:pPr>
            <w:r w:rsidRPr="007F1C79">
              <w:t xml:space="preserve">Appreciation, </w:t>
            </w:r>
            <w:r w:rsidR="007F1C79">
              <w:t>c</w:t>
            </w:r>
            <w:r w:rsidRPr="007F1C79">
              <w:t xml:space="preserve">ontrol </w:t>
            </w:r>
            <w:r w:rsidR="007F1C79">
              <w:t>o</w:t>
            </w:r>
            <w:r w:rsidRPr="007F1C79">
              <w:t>ptio</w:t>
            </w:r>
            <w:r w:rsidRPr="002207E2">
              <w:t>ns, Resource Plan,</w:t>
            </w:r>
            <w:r w:rsidRPr="007F1C79">
              <w:t xml:space="preserve"> supporting plans </w:t>
            </w:r>
            <w:r w:rsidR="007F1C79">
              <w:t>(</w:t>
            </w:r>
            <w:r w:rsidRPr="007F1C79">
              <w:t>eg</w:t>
            </w:r>
            <w:r w:rsidR="007F1C79">
              <w:t> </w:t>
            </w:r>
            <w:r w:rsidRPr="007F1C79">
              <w:t>surveillance</w:t>
            </w:r>
            <w:r w:rsidR="007F1C79">
              <w:t>)</w:t>
            </w:r>
          </w:p>
        </w:tc>
        <w:tc>
          <w:tcPr>
            <w:tcW w:w="6053" w:type="dxa"/>
            <w:gridSpan w:val="2"/>
            <w:shd w:val="clear" w:color="auto" w:fill="auto"/>
          </w:tcPr>
          <w:p w14:paraId="55A11337" w14:textId="77777777" w:rsidR="00344304" w:rsidRPr="007F1C79" w:rsidRDefault="00344304" w:rsidP="000958B1">
            <w:pPr>
              <w:pStyle w:val="TableText0"/>
              <w:keepNext w:val="0"/>
            </w:pPr>
          </w:p>
          <w:p w14:paraId="1F6B0A23" w14:textId="77777777" w:rsidR="00344304" w:rsidRPr="007F1C79" w:rsidRDefault="00344304" w:rsidP="000958B1">
            <w:pPr>
              <w:pStyle w:val="TableText0"/>
              <w:keepNext w:val="0"/>
            </w:pPr>
          </w:p>
          <w:p w14:paraId="5B719451" w14:textId="77777777" w:rsidR="00344304" w:rsidRPr="007F1C79" w:rsidRDefault="00344304" w:rsidP="000958B1">
            <w:pPr>
              <w:pStyle w:val="TableText0"/>
              <w:keepNext w:val="0"/>
            </w:pPr>
          </w:p>
        </w:tc>
      </w:tr>
      <w:tr w:rsidR="00344304" w:rsidRPr="007F1C79" w14:paraId="64296DD6" w14:textId="77777777" w:rsidTr="006E645C">
        <w:trPr>
          <w:cantSplit/>
          <w:trHeight w:val="933"/>
        </w:trPr>
        <w:tc>
          <w:tcPr>
            <w:tcW w:w="2943" w:type="dxa"/>
            <w:shd w:val="clear" w:color="auto" w:fill="auto"/>
          </w:tcPr>
          <w:p w14:paraId="4398E205" w14:textId="44A8177B" w:rsidR="00344304" w:rsidRPr="007F1C79" w:rsidRDefault="007F1C79" w:rsidP="000958B1">
            <w:pPr>
              <w:pStyle w:val="TableText0"/>
              <w:keepNext w:val="0"/>
            </w:pPr>
            <w:r w:rsidRPr="007F1C79">
              <w:t>Groupings</w:t>
            </w:r>
          </w:p>
          <w:p w14:paraId="5B23C1F7" w14:textId="5163EA8E" w:rsidR="00344304" w:rsidRPr="007F1C79" w:rsidRDefault="00344304" w:rsidP="007F061C">
            <w:pPr>
              <w:pStyle w:val="TableBullet"/>
            </w:pPr>
            <w:r w:rsidRPr="007F1C79">
              <w:t xml:space="preserve">How are the tasks organised into functional groups to deliver </w:t>
            </w:r>
            <w:r w:rsidR="00DA7BE2">
              <w:t>(</w:t>
            </w:r>
            <w:r w:rsidR="00BA3C85" w:rsidRPr="007F1C79">
              <w:t>eg</w:t>
            </w:r>
            <w:r w:rsidR="00DA7BE2">
              <w:t> </w:t>
            </w:r>
            <w:r w:rsidRPr="007F1C79">
              <w:t>sectors, divisions, premises</w:t>
            </w:r>
            <w:r w:rsidR="00DA7BE2">
              <w:t>)</w:t>
            </w:r>
          </w:p>
        </w:tc>
        <w:tc>
          <w:tcPr>
            <w:tcW w:w="6053" w:type="dxa"/>
            <w:gridSpan w:val="2"/>
            <w:shd w:val="clear" w:color="auto" w:fill="auto"/>
          </w:tcPr>
          <w:p w14:paraId="05D51878" w14:textId="77777777" w:rsidR="00344304" w:rsidRPr="007F1C79" w:rsidRDefault="00344304" w:rsidP="000958B1">
            <w:pPr>
              <w:pStyle w:val="TableText0"/>
              <w:keepNext w:val="0"/>
            </w:pPr>
          </w:p>
          <w:p w14:paraId="33F54A20" w14:textId="77777777" w:rsidR="00344304" w:rsidRPr="007F1C79" w:rsidRDefault="00344304" w:rsidP="000958B1">
            <w:pPr>
              <w:pStyle w:val="TableText0"/>
              <w:keepNext w:val="0"/>
            </w:pPr>
          </w:p>
        </w:tc>
      </w:tr>
      <w:tr w:rsidR="00344304" w:rsidRPr="007F1C79" w14:paraId="4193B6EF" w14:textId="77777777" w:rsidTr="006E645C">
        <w:trPr>
          <w:cantSplit/>
          <w:trHeight w:val="1167"/>
        </w:trPr>
        <w:tc>
          <w:tcPr>
            <w:tcW w:w="2943" w:type="dxa"/>
            <w:tcBorders>
              <w:bottom w:val="single" w:sz="4" w:space="0" w:color="auto"/>
            </w:tcBorders>
            <w:shd w:val="clear" w:color="auto" w:fill="auto"/>
          </w:tcPr>
          <w:p w14:paraId="0FF3B395" w14:textId="7C884DE6" w:rsidR="00344304" w:rsidRPr="007F1C79" w:rsidRDefault="007F1C79" w:rsidP="000958B1">
            <w:pPr>
              <w:pStyle w:val="TableText0"/>
              <w:keepNext w:val="0"/>
            </w:pPr>
            <w:r w:rsidRPr="007F1C79">
              <w:t>Coordinating instructions</w:t>
            </w:r>
          </w:p>
          <w:p w14:paraId="133D0FA8" w14:textId="678E62CA" w:rsidR="00344304" w:rsidRPr="007F1C79" w:rsidRDefault="007F1C79" w:rsidP="000958B1">
            <w:pPr>
              <w:pStyle w:val="TableText0"/>
              <w:keepNext w:val="0"/>
            </w:pPr>
            <w:r w:rsidRPr="007F1C79">
              <w:t>Prompts</w:t>
            </w:r>
            <w:r w:rsidR="00344304" w:rsidRPr="007F1C79">
              <w:t>:</w:t>
            </w:r>
          </w:p>
          <w:p w14:paraId="65B4FF77" w14:textId="3F289AD7" w:rsidR="00344304" w:rsidRPr="007F1C79" w:rsidRDefault="00344304" w:rsidP="007F061C">
            <w:pPr>
              <w:pStyle w:val="TableBullet"/>
            </w:pPr>
            <w:r w:rsidRPr="007F1C79">
              <w:t>Timings, routes, assembly areas, staging areas</w:t>
            </w:r>
          </w:p>
        </w:tc>
        <w:tc>
          <w:tcPr>
            <w:tcW w:w="6053" w:type="dxa"/>
            <w:gridSpan w:val="2"/>
            <w:tcBorders>
              <w:bottom w:val="single" w:sz="4" w:space="0" w:color="auto"/>
            </w:tcBorders>
            <w:shd w:val="clear" w:color="auto" w:fill="auto"/>
          </w:tcPr>
          <w:p w14:paraId="6BB95F8E" w14:textId="77777777" w:rsidR="00344304" w:rsidRPr="007F1C79" w:rsidRDefault="00344304" w:rsidP="000958B1">
            <w:pPr>
              <w:pStyle w:val="TableText0"/>
              <w:keepNext w:val="0"/>
            </w:pPr>
          </w:p>
        </w:tc>
      </w:tr>
      <w:tr w:rsidR="00344304" w:rsidRPr="00DA7BE2" w14:paraId="56CD768B" w14:textId="77777777" w:rsidTr="006E645C">
        <w:trPr>
          <w:cantSplit/>
        </w:trPr>
        <w:tc>
          <w:tcPr>
            <w:tcW w:w="8996" w:type="dxa"/>
            <w:gridSpan w:val="3"/>
            <w:tcBorders>
              <w:top w:val="single" w:sz="4" w:space="0" w:color="auto"/>
            </w:tcBorders>
            <w:shd w:val="clear" w:color="auto" w:fill="D9D9D9" w:themeFill="background1" w:themeFillShade="D9"/>
          </w:tcPr>
          <w:p w14:paraId="2389CF99" w14:textId="470B7060" w:rsidR="00344304" w:rsidRPr="00DA7BE2" w:rsidRDefault="00DA7BE2" w:rsidP="000958B1">
            <w:pPr>
              <w:pStyle w:val="TableText0"/>
              <w:keepNext w:val="0"/>
              <w:rPr>
                <w:b/>
              </w:rPr>
            </w:pPr>
            <w:r w:rsidRPr="00DA7BE2">
              <w:rPr>
                <w:b/>
              </w:rPr>
              <w:t xml:space="preserve">Administration </w:t>
            </w:r>
            <w:r w:rsidR="00344304" w:rsidRPr="00DA7BE2">
              <w:rPr>
                <w:b/>
              </w:rPr>
              <w:t>(</w:t>
            </w:r>
            <w:r w:rsidRPr="00DA7BE2">
              <w:rPr>
                <w:b/>
              </w:rPr>
              <w:t>l</w:t>
            </w:r>
            <w:r w:rsidR="00344304" w:rsidRPr="00DA7BE2">
              <w:rPr>
                <w:b/>
              </w:rPr>
              <w:t>ogistics support to field operations)</w:t>
            </w:r>
          </w:p>
          <w:p w14:paraId="78EDD33B" w14:textId="0861DEB9" w:rsidR="00344304" w:rsidRPr="00DA7BE2" w:rsidRDefault="00344304" w:rsidP="000958B1">
            <w:pPr>
              <w:pStyle w:val="TableText0"/>
              <w:keepNext w:val="0"/>
              <w:rPr>
                <w:b/>
              </w:rPr>
            </w:pPr>
            <w:r w:rsidRPr="00DA7BE2">
              <w:rPr>
                <w:b/>
              </w:rPr>
              <w:t>Unit names, locations, contact names, phone n</w:t>
            </w:r>
            <w:r w:rsidR="00DA7BE2" w:rsidRPr="00DA7BE2">
              <w:rPr>
                <w:b/>
              </w:rPr>
              <w:t>umbers</w:t>
            </w:r>
            <w:r w:rsidRPr="00DA7BE2">
              <w:rPr>
                <w:b/>
              </w:rPr>
              <w:t>, timings, duties</w:t>
            </w:r>
            <w:r w:rsidR="00DA7BE2">
              <w:rPr>
                <w:b/>
              </w:rPr>
              <w:t>/</w:t>
            </w:r>
            <w:r w:rsidRPr="00DA7BE2">
              <w:rPr>
                <w:b/>
              </w:rPr>
              <w:t xml:space="preserve">tasks, routes, suppliers, quantities, status </w:t>
            </w:r>
            <w:r w:rsidR="00DA7BE2" w:rsidRPr="00DA7BE2">
              <w:rPr>
                <w:b/>
              </w:rPr>
              <w:t>(</w:t>
            </w:r>
            <w:r w:rsidR="006E6925" w:rsidRPr="00DA7BE2">
              <w:rPr>
                <w:b/>
              </w:rPr>
              <w:t>eg</w:t>
            </w:r>
            <w:r w:rsidR="00DA7BE2" w:rsidRPr="00DA7BE2">
              <w:rPr>
                <w:b/>
              </w:rPr>
              <w:t> </w:t>
            </w:r>
            <w:r w:rsidRPr="00DA7BE2">
              <w:rPr>
                <w:b/>
              </w:rPr>
              <w:t>required</w:t>
            </w:r>
            <w:r w:rsidR="00DA7BE2" w:rsidRPr="00DA7BE2">
              <w:rPr>
                <w:b/>
              </w:rPr>
              <w:t>)</w:t>
            </w:r>
          </w:p>
        </w:tc>
      </w:tr>
      <w:tr w:rsidR="00344304" w:rsidRPr="00DA7BE2" w14:paraId="39B711B3" w14:textId="77777777" w:rsidTr="006E645C">
        <w:trPr>
          <w:cantSplit/>
          <w:trHeight w:val="1320"/>
        </w:trPr>
        <w:tc>
          <w:tcPr>
            <w:tcW w:w="2943" w:type="dxa"/>
            <w:shd w:val="clear" w:color="auto" w:fill="auto"/>
          </w:tcPr>
          <w:p w14:paraId="58968588" w14:textId="4E15DFE0" w:rsidR="00344304" w:rsidRPr="00DA7BE2" w:rsidRDefault="00DA7BE2" w:rsidP="000958B1">
            <w:pPr>
              <w:pStyle w:val="TableText0"/>
              <w:keepNext w:val="0"/>
            </w:pPr>
            <w:r w:rsidRPr="00DA7BE2">
              <w:t>Supply</w:t>
            </w:r>
            <w:r>
              <w:t>:</w:t>
            </w:r>
          </w:p>
          <w:p w14:paraId="515DBB1F" w14:textId="70EC119F" w:rsidR="00344304" w:rsidRPr="00DA7BE2" w:rsidRDefault="00DA7BE2" w:rsidP="007F061C">
            <w:pPr>
              <w:pStyle w:val="TableBullet"/>
            </w:pPr>
            <w:r w:rsidRPr="00DA7BE2">
              <w:t xml:space="preserve">Who, what, where, when </w:t>
            </w:r>
            <w:r w:rsidR="00344304" w:rsidRPr="00DA7BE2">
              <w:t>of resources not readily available</w:t>
            </w:r>
            <w:r>
              <w:t>. Use</w:t>
            </w:r>
            <w:r w:rsidR="00344304" w:rsidRPr="00DA7BE2">
              <w:t xml:space="preserve"> the field for rate</w:t>
            </w:r>
            <w:r>
              <w:t>-</w:t>
            </w:r>
            <w:r w:rsidR="00344304" w:rsidRPr="00DA7BE2">
              <w:t>limiting resources – do not attempt to show all resources</w:t>
            </w:r>
          </w:p>
        </w:tc>
        <w:tc>
          <w:tcPr>
            <w:tcW w:w="6053" w:type="dxa"/>
            <w:gridSpan w:val="2"/>
            <w:shd w:val="clear" w:color="auto" w:fill="auto"/>
          </w:tcPr>
          <w:p w14:paraId="13E08362" w14:textId="77777777" w:rsidR="00344304" w:rsidRPr="00DA7BE2" w:rsidRDefault="00344304" w:rsidP="000958B1">
            <w:pPr>
              <w:pStyle w:val="TableText0"/>
              <w:keepNext w:val="0"/>
            </w:pPr>
          </w:p>
          <w:p w14:paraId="418994B8" w14:textId="77777777" w:rsidR="00344304" w:rsidRPr="00DA7BE2" w:rsidRDefault="00344304" w:rsidP="000958B1">
            <w:pPr>
              <w:pStyle w:val="TableText0"/>
              <w:keepNext w:val="0"/>
            </w:pPr>
          </w:p>
          <w:p w14:paraId="6CBA14A6" w14:textId="77777777" w:rsidR="00344304" w:rsidRPr="00DA7BE2" w:rsidRDefault="00344304" w:rsidP="000958B1">
            <w:pPr>
              <w:pStyle w:val="TableText0"/>
              <w:keepNext w:val="0"/>
            </w:pPr>
          </w:p>
        </w:tc>
      </w:tr>
      <w:tr w:rsidR="00344304" w:rsidRPr="00DA7BE2" w14:paraId="7E90D23E" w14:textId="77777777" w:rsidTr="006E645C">
        <w:trPr>
          <w:cantSplit/>
        </w:trPr>
        <w:tc>
          <w:tcPr>
            <w:tcW w:w="2943" w:type="dxa"/>
            <w:shd w:val="clear" w:color="auto" w:fill="auto"/>
          </w:tcPr>
          <w:p w14:paraId="04885E64" w14:textId="5E174063" w:rsidR="00344304" w:rsidRPr="00DA7BE2" w:rsidRDefault="00DA7BE2" w:rsidP="000958B1">
            <w:pPr>
              <w:pStyle w:val="TableText0"/>
              <w:keepNext w:val="0"/>
            </w:pPr>
            <w:r w:rsidRPr="00DA7BE2">
              <w:t>Ground support</w:t>
            </w:r>
            <w:r>
              <w:t>:</w:t>
            </w:r>
          </w:p>
          <w:p w14:paraId="70164136" w14:textId="2B6D0037" w:rsidR="00344304" w:rsidRPr="00DA7BE2" w:rsidRDefault="00344304" w:rsidP="007F061C">
            <w:pPr>
              <w:pStyle w:val="TableBullet"/>
            </w:pPr>
            <w:r w:rsidRPr="00DA7BE2">
              <w:t xml:space="preserve">Transport of personnel, traffic </w:t>
            </w:r>
            <w:r w:rsidR="00917CB6" w:rsidRPr="00DA7BE2">
              <w:t>management</w:t>
            </w:r>
            <w:r w:rsidRPr="00DA7BE2">
              <w:t xml:space="preserve">, </w:t>
            </w:r>
            <w:r w:rsidR="00BA3C85" w:rsidRPr="00DA7BE2">
              <w:t>refuel</w:t>
            </w:r>
            <w:r w:rsidR="00DA7BE2">
              <w:t>l</w:t>
            </w:r>
            <w:r w:rsidR="00BA3C85" w:rsidRPr="00DA7BE2">
              <w:t>ing</w:t>
            </w:r>
            <w:r w:rsidRPr="00DA7BE2">
              <w:t>, mechanical repair</w:t>
            </w:r>
            <w:r w:rsidR="006E6925" w:rsidRPr="00DA7BE2">
              <w:t xml:space="preserve"> </w:t>
            </w:r>
            <w:r w:rsidR="00DA7BE2">
              <w:t>and</w:t>
            </w:r>
            <w:r w:rsidR="006E6925" w:rsidRPr="00DA7BE2">
              <w:t xml:space="preserve"> </w:t>
            </w:r>
            <w:r w:rsidRPr="00DA7BE2">
              <w:t>maintenance</w:t>
            </w:r>
          </w:p>
        </w:tc>
        <w:tc>
          <w:tcPr>
            <w:tcW w:w="6053" w:type="dxa"/>
            <w:gridSpan w:val="2"/>
            <w:shd w:val="clear" w:color="auto" w:fill="auto"/>
          </w:tcPr>
          <w:p w14:paraId="20D09FD8" w14:textId="77777777" w:rsidR="00344304" w:rsidRPr="00DA7BE2" w:rsidRDefault="00344304" w:rsidP="000958B1">
            <w:pPr>
              <w:pStyle w:val="TableText0"/>
              <w:keepNext w:val="0"/>
            </w:pPr>
          </w:p>
        </w:tc>
      </w:tr>
      <w:tr w:rsidR="00344304" w:rsidRPr="00DA7BE2" w14:paraId="1A0AF028" w14:textId="77777777" w:rsidTr="006E645C">
        <w:trPr>
          <w:cantSplit/>
          <w:trHeight w:val="627"/>
        </w:trPr>
        <w:tc>
          <w:tcPr>
            <w:tcW w:w="2943" w:type="dxa"/>
            <w:shd w:val="clear" w:color="auto" w:fill="auto"/>
          </w:tcPr>
          <w:p w14:paraId="3B6984F8" w14:textId="3FBF93B0" w:rsidR="00344304" w:rsidRPr="00DA7BE2" w:rsidRDefault="00DA7BE2" w:rsidP="000958B1">
            <w:pPr>
              <w:pStyle w:val="TableText0"/>
              <w:keepNext w:val="0"/>
            </w:pPr>
            <w:r w:rsidRPr="00DA7BE2">
              <w:t>Communications</w:t>
            </w:r>
            <w:r>
              <w:t>:</w:t>
            </w:r>
          </w:p>
          <w:p w14:paraId="5A1EECC4" w14:textId="51B5249B" w:rsidR="00344304" w:rsidRPr="00DA7BE2" w:rsidRDefault="00344304" w:rsidP="007F061C">
            <w:pPr>
              <w:pStyle w:val="TableBullet"/>
            </w:pPr>
            <w:r w:rsidRPr="00DA7BE2">
              <w:t xml:space="preserve">Resourcing for radios, phones </w:t>
            </w:r>
            <w:r w:rsidR="00DA7BE2">
              <w:t xml:space="preserve">(installation </w:t>
            </w:r>
            <w:r w:rsidR="00762A8B">
              <w:t xml:space="preserve">and management </w:t>
            </w:r>
            <w:r w:rsidR="00DA7BE2">
              <w:t xml:space="preserve">of </w:t>
            </w:r>
            <w:r w:rsidR="0091512C" w:rsidRPr="00DA7BE2">
              <w:t>ext</w:t>
            </w:r>
            <w:r w:rsidR="00DA7BE2">
              <w:t>ensions)</w:t>
            </w:r>
            <w:r w:rsidRPr="00DA7BE2">
              <w:t xml:space="preserve">, maintenance, </w:t>
            </w:r>
            <w:r w:rsidR="006E6925" w:rsidRPr="00DA7BE2">
              <w:t>help</w:t>
            </w:r>
          </w:p>
        </w:tc>
        <w:tc>
          <w:tcPr>
            <w:tcW w:w="6053" w:type="dxa"/>
            <w:gridSpan w:val="2"/>
            <w:shd w:val="clear" w:color="auto" w:fill="auto"/>
          </w:tcPr>
          <w:p w14:paraId="2B2087EA" w14:textId="77777777" w:rsidR="00344304" w:rsidRPr="00DA7BE2" w:rsidRDefault="00344304" w:rsidP="000958B1">
            <w:pPr>
              <w:pStyle w:val="TableText0"/>
              <w:keepNext w:val="0"/>
            </w:pPr>
          </w:p>
        </w:tc>
      </w:tr>
      <w:tr w:rsidR="00344304" w:rsidRPr="00DA7BE2" w14:paraId="438CF90D" w14:textId="77777777" w:rsidTr="006E645C">
        <w:trPr>
          <w:cantSplit/>
        </w:trPr>
        <w:tc>
          <w:tcPr>
            <w:tcW w:w="2943" w:type="dxa"/>
            <w:tcBorders>
              <w:bottom w:val="single" w:sz="4" w:space="0" w:color="auto"/>
            </w:tcBorders>
            <w:shd w:val="clear" w:color="auto" w:fill="auto"/>
          </w:tcPr>
          <w:p w14:paraId="3BA8C16E" w14:textId="73195FDC" w:rsidR="00344304" w:rsidRPr="00DA7BE2" w:rsidRDefault="00DA7BE2" w:rsidP="000958B1">
            <w:pPr>
              <w:pStyle w:val="TableText0"/>
              <w:keepNext w:val="0"/>
            </w:pPr>
            <w:r w:rsidRPr="00DA7BE2">
              <w:t>Staging area/FCP</w:t>
            </w:r>
            <w:r>
              <w:t>:</w:t>
            </w:r>
          </w:p>
          <w:p w14:paraId="0AFBCEFD" w14:textId="77777777" w:rsidR="00DA7BE2" w:rsidRDefault="00344304" w:rsidP="007F061C">
            <w:pPr>
              <w:pStyle w:val="TableBullet"/>
            </w:pPr>
            <w:r w:rsidRPr="00DA7BE2">
              <w:t xml:space="preserve">Facilities and services available at FCP and </w:t>
            </w:r>
            <w:r w:rsidR="00DA7BE2">
              <w:t>staging area</w:t>
            </w:r>
          </w:p>
          <w:p w14:paraId="3A2F0E03" w14:textId="2F7F77FB" w:rsidR="00344304" w:rsidRPr="00DA7BE2" w:rsidRDefault="00344304" w:rsidP="007F061C">
            <w:pPr>
              <w:pStyle w:val="TableBullet"/>
            </w:pPr>
            <w:r w:rsidRPr="00DA7BE2">
              <w:t>Setting up, communications, staffing</w:t>
            </w:r>
          </w:p>
        </w:tc>
        <w:tc>
          <w:tcPr>
            <w:tcW w:w="6053" w:type="dxa"/>
            <w:gridSpan w:val="2"/>
            <w:tcBorders>
              <w:bottom w:val="single" w:sz="4" w:space="0" w:color="auto"/>
            </w:tcBorders>
            <w:shd w:val="clear" w:color="auto" w:fill="auto"/>
          </w:tcPr>
          <w:p w14:paraId="3A394EB3" w14:textId="77777777" w:rsidR="00344304" w:rsidRPr="00DA7BE2" w:rsidRDefault="00344304" w:rsidP="000958B1">
            <w:pPr>
              <w:pStyle w:val="TableText0"/>
              <w:keepNext w:val="0"/>
            </w:pPr>
          </w:p>
        </w:tc>
      </w:tr>
      <w:tr w:rsidR="00344304" w:rsidRPr="00DA7BE2" w14:paraId="399267C9" w14:textId="77777777" w:rsidTr="006E645C">
        <w:trPr>
          <w:cantSplit/>
        </w:trPr>
        <w:tc>
          <w:tcPr>
            <w:tcW w:w="8996" w:type="dxa"/>
            <w:gridSpan w:val="3"/>
            <w:tcBorders>
              <w:top w:val="single" w:sz="4" w:space="0" w:color="auto"/>
            </w:tcBorders>
            <w:shd w:val="clear" w:color="auto" w:fill="D9D9D9" w:themeFill="background1" w:themeFillShade="D9"/>
          </w:tcPr>
          <w:p w14:paraId="6718AF5F" w14:textId="24285977" w:rsidR="00344304" w:rsidRPr="00DA7BE2" w:rsidRDefault="00DA7BE2" w:rsidP="000958B1">
            <w:pPr>
              <w:pStyle w:val="TableText0"/>
              <w:keepNext w:val="0"/>
              <w:rPr>
                <w:b/>
              </w:rPr>
            </w:pPr>
            <w:r w:rsidRPr="00DA7BE2">
              <w:rPr>
                <w:b/>
              </w:rPr>
              <w:t xml:space="preserve">Administration </w:t>
            </w:r>
            <w:r w:rsidR="00344304" w:rsidRPr="00DA7BE2">
              <w:rPr>
                <w:b/>
              </w:rPr>
              <w:t xml:space="preserve">(internal </w:t>
            </w:r>
            <w:r w:rsidRPr="00DA7BE2">
              <w:rPr>
                <w:b/>
              </w:rPr>
              <w:t>l</w:t>
            </w:r>
            <w:r w:rsidR="00344304" w:rsidRPr="00DA7BE2">
              <w:rPr>
                <w:b/>
              </w:rPr>
              <w:t>ogistics services)</w:t>
            </w:r>
          </w:p>
          <w:p w14:paraId="390CC29A" w14:textId="71EECAC9" w:rsidR="00344304" w:rsidRPr="00DA7BE2" w:rsidRDefault="00344304" w:rsidP="000958B1">
            <w:pPr>
              <w:pStyle w:val="TableText0"/>
              <w:keepNext w:val="0"/>
              <w:rPr>
                <w:b/>
              </w:rPr>
            </w:pPr>
            <w:r w:rsidRPr="00DA7BE2">
              <w:rPr>
                <w:b/>
              </w:rPr>
              <w:t>Unit names, locations, contact names, phone n</w:t>
            </w:r>
            <w:r w:rsidR="00DA7BE2" w:rsidRPr="00DA7BE2">
              <w:rPr>
                <w:b/>
              </w:rPr>
              <w:t>umbers</w:t>
            </w:r>
            <w:r w:rsidRPr="00DA7BE2">
              <w:rPr>
                <w:b/>
              </w:rPr>
              <w:t xml:space="preserve">, timings, duties/tasks, routes, suppliers, quantities, </w:t>
            </w:r>
            <w:r w:rsidR="006E6925" w:rsidRPr="00DA7BE2">
              <w:rPr>
                <w:b/>
              </w:rPr>
              <w:t xml:space="preserve">resource </w:t>
            </w:r>
            <w:r w:rsidRPr="00DA7BE2">
              <w:rPr>
                <w:b/>
              </w:rPr>
              <w:t xml:space="preserve">status </w:t>
            </w:r>
            <w:r w:rsidR="00DA7BE2" w:rsidRPr="00DA7BE2">
              <w:rPr>
                <w:b/>
              </w:rPr>
              <w:t>(</w:t>
            </w:r>
            <w:r w:rsidR="006E6925" w:rsidRPr="00DA7BE2">
              <w:rPr>
                <w:b/>
              </w:rPr>
              <w:t>eg</w:t>
            </w:r>
            <w:r w:rsidR="00DA7BE2" w:rsidRPr="00DA7BE2">
              <w:rPr>
                <w:b/>
              </w:rPr>
              <w:t> </w:t>
            </w:r>
            <w:r w:rsidRPr="00DA7BE2">
              <w:rPr>
                <w:b/>
              </w:rPr>
              <w:t>required</w:t>
            </w:r>
            <w:r w:rsidR="00DA7BE2" w:rsidRPr="00DA7BE2">
              <w:rPr>
                <w:b/>
              </w:rPr>
              <w:t>)</w:t>
            </w:r>
          </w:p>
        </w:tc>
      </w:tr>
      <w:tr w:rsidR="00344304" w:rsidRPr="00E43C2B" w14:paraId="1690A1D6" w14:textId="77777777" w:rsidTr="006E645C">
        <w:trPr>
          <w:cantSplit/>
          <w:trHeight w:val="501"/>
        </w:trPr>
        <w:tc>
          <w:tcPr>
            <w:tcW w:w="2943" w:type="dxa"/>
            <w:shd w:val="clear" w:color="auto" w:fill="auto"/>
          </w:tcPr>
          <w:p w14:paraId="7C5E6EB0" w14:textId="23B88DB7" w:rsidR="00344304" w:rsidRPr="00DA7BE2" w:rsidRDefault="00DA7BE2" w:rsidP="000958B1">
            <w:pPr>
              <w:pStyle w:val="TableText0"/>
              <w:keepNext w:val="0"/>
            </w:pPr>
            <w:r w:rsidRPr="00DA7BE2">
              <w:t>Facilities</w:t>
            </w:r>
            <w:r>
              <w:t>:</w:t>
            </w:r>
          </w:p>
          <w:p w14:paraId="4DC94A87" w14:textId="41294419" w:rsidR="00344304" w:rsidRPr="00DA7BE2" w:rsidRDefault="00344304" w:rsidP="007F061C">
            <w:pPr>
              <w:pStyle w:val="TableBullet"/>
            </w:pPr>
            <w:r w:rsidRPr="00DA7BE2">
              <w:t>Security</w:t>
            </w:r>
            <w:r w:rsidR="008A4AED" w:rsidRPr="00DA7BE2">
              <w:t xml:space="preserve"> </w:t>
            </w:r>
            <w:r w:rsidRPr="00DA7BE2">
              <w:t>waste</w:t>
            </w:r>
            <w:r w:rsidR="008A4AED" w:rsidRPr="00DA7BE2">
              <w:t xml:space="preserve"> </w:t>
            </w:r>
            <w:r w:rsidRPr="00DA7BE2">
              <w:t>cleaning</w:t>
            </w:r>
          </w:p>
        </w:tc>
        <w:tc>
          <w:tcPr>
            <w:tcW w:w="6053" w:type="dxa"/>
            <w:gridSpan w:val="2"/>
            <w:shd w:val="clear" w:color="auto" w:fill="auto"/>
          </w:tcPr>
          <w:p w14:paraId="5679B7E5" w14:textId="77777777" w:rsidR="00344304" w:rsidRPr="00E43C2B" w:rsidRDefault="00344304" w:rsidP="000958B1">
            <w:pPr>
              <w:pStyle w:val="TableText0"/>
              <w:keepNext w:val="0"/>
            </w:pPr>
          </w:p>
        </w:tc>
      </w:tr>
      <w:tr w:rsidR="00344304" w:rsidRPr="00E43C2B" w14:paraId="2D976BF6" w14:textId="77777777" w:rsidTr="006E645C">
        <w:trPr>
          <w:cantSplit/>
        </w:trPr>
        <w:tc>
          <w:tcPr>
            <w:tcW w:w="2943" w:type="dxa"/>
            <w:shd w:val="clear" w:color="auto" w:fill="auto"/>
          </w:tcPr>
          <w:p w14:paraId="408BA747" w14:textId="1B6A2E79" w:rsidR="00344304" w:rsidRPr="00DA7BE2" w:rsidRDefault="00DA7BE2" w:rsidP="000958B1">
            <w:pPr>
              <w:pStyle w:val="TableText0"/>
              <w:keepNext w:val="0"/>
            </w:pPr>
            <w:r w:rsidRPr="00DA7BE2">
              <w:t>Catering</w:t>
            </w:r>
            <w:r>
              <w:t>:</w:t>
            </w:r>
          </w:p>
          <w:p w14:paraId="0644E7A7" w14:textId="0928AD15" w:rsidR="00344304" w:rsidRPr="00DA7BE2" w:rsidRDefault="00DA7BE2" w:rsidP="007F061C">
            <w:pPr>
              <w:pStyle w:val="TableBullet"/>
            </w:pPr>
            <w:r>
              <w:t>A</w:t>
            </w:r>
            <w:r w:rsidR="00BA3C85" w:rsidRPr="00DA7BE2">
              <w:t>rrangements</w:t>
            </w:r>
            <w:r w:rsidR="00344304" w:rsidRPr="00DA7BE2">
              <w:t xml:space="preserve"> for feeding </w:t>
            </w:r>
            <w:r>
              <w:t>control centre personnel</w:t>
            </w:r>
            <w:r w:rsidRPr="00DA7BE2">
              <w:t xml:space="preserve"> </w:t>
            </w:r>
            <w:r w:rsidR="00344304" w:rsidRPr="00DA7BE2">
              <w:t>and field teams</w:t>
            </w:r>
          </w:p>
        </w:tc>
        <w:tc>
          <w:tcPr>
            <w:tcW w:w="6053" w:type="dxa"/>
            <w:gridSpan w:val="2"/>
            <w:shd w:val="clear" w:color="auto" w:fill="auto"/>
          </w:tcPr>
          <w:p w14:paraId="078FAAC8" w14:textId="77777777" w:rsidR="00344304" w:rsidRPr="00E2688A" w:rsidRDefault="00344304" w:rsidP="000958B1">
            <w:pPr>
              <w:pStyle w:val="TableText0"/>
              <w:keepNext w:val="0"/>
            </w:pPr>
          </w:p>
        </w:tc>
      </w:tr>
      <w:tr w:rsidR="00344304" w:rsidRPr="00E43C2B" w14:paraId="308DF03D" w14:textId="77777777" w:rsidTr="006E645C">
        <w:trPr>
          <w:cantSplit/>
        </w:trPr>
        <w:tc>
          <w:tcPr>
            <w:tcW w:w="2943" w:type="dxa"/>
            <w:shd w:val="clear" w:color="auto" w:fill="auto"/>
          </w:tcPr>
          <w:p w14:paraId="7732AE10" w14:textId="5F4E9F32" w:rsidR="00344304" w:rsidRPr="00DA7BE2" w:rsidRDefault="00DA7BE2" w:rsidP="000958B1">
            <w:pPr>
              <w:pStyle w:val="TableText0"/>
              <w:keepNext w:val="0"/>
            </w:pPr>
            <w:r w:rsidRPr="00DA7BE2">
              <w:t>Finance</w:t>
            </w:r>
            <w:r>
              <w:t>:</w:t>
            </w:r>
          </w:p>
          <w:p w14:paraId="086F60CB" w14:textId="16F78356" w:rsidR="00344304" w:rsidRPr="00DA7BE2" w:rsidRDefault="00344304" w:rsidP="007F061C">
            <w:pPr>
              <w:pStyle w:val="TableBullet"/>
            </w:pPr>
            <w:r w:rsidRPr="00DA7BE2">
              <w:t xml:space="preserve">Cost code(s), </w:t>
            </w:r>
            <w:r w:rsidR="00465F14" w:rsidRPr="00DA7BE2">
              <w:t>arrangements</w:t>
            </w:r>
            <w:r w:rsidRPr="00DA7BE2">
              <w:t xml:space="preserve"> for approvals</w:t>
            </w:r>
          </w:p>
        </w:tc>
        <w:tc>
          <w:tcPr>
            <w:tcW w:w="6053" w:type="dxa"/>
            <w:gridSpan w:val="2"/>
            <w:shd w:val="clear" w:color="auto" w:fill="auto"/>
          </w:tcPr>
          <w:p w14:paraId="13E76EAF" w14:textId="77777777" w:rsidR="00344304" w:rsidRPr="009A6E28" w:rsidRDefault="00344304" w:rsidP="000958B1">
            <w:pPr>
              <w:pStyle w:val="TableText0"/>
              <w:keepNext w:val="0"/>
            </w:pPr>
          </w:p>
        </w:tc>
      </w:tr>
      <w:tr w:rsidR="00344304" w:rsidRPr="00E43C2B" w14:paraId="035FF367" w14:textId="77777777" w:rsidTr="006E645C">
        <w:trPr>
          <w:cantSplit/>
        </w:trPr>
        <w:tc>
          <w:tcPr>
            <w:tcW w:w="2943" w:type="dxa"/>
            <w:shd w:val="clear" w:color="auto" w:fill="auto"/>
          </w:tcPr>
          <w:p w14:paraId="2DF837D7" w14:textId="00F73C66" w:rsidR="00344304" w:rsidRPr="00DA7BE2" w:rsidRDefault="00DA7BE2" w:rsidP="000958B1">
            <w:pPr>
              <w:pStyle w:val="TableText0"/>
              <w:keepNext w:val="0"/>
            </w:pPr>
            <w:r w:rsidRPr="00DA7BE2">
              <w:t>Travel</w:t>
            </w:r>
            <w:r>
              <w:t>:</w:t>
            </w:r>
          </w:p>
          <w:p w14:paraId="0938F842" w14:textId="311268B4" w:rsidR="00344304" w:rsidRPr="00DA7BE2" w:rsidRDefault="00344304" w:rsidP="007F061C">
            <w:pPr>
              <w:pStyle w:val="TableBullet"/>
            </w:pPr>
            <w:r w:rsidRPr="00DA7BE2">
              <w:t xml:space="preserve">Arrangements for travel to/from </w:t>
            </w:r>
            <w:r w:rsidR="00DA7BE2">
              <w:t>control centre</w:t>
            </w:r>
            <w:r w:rsidRPr="00DA7BE2">
              <w:t>, field</w:t>
            </w:r>
            <w:r w:rsidR="00B73D6D">
              <w:t xml:space="preserve">, </w:t>
            </w:r>
            <w:r w:rsidR="00BA3C85" w:rsidRPr="00DA7BE2">
              <w:t>etc</w:t>
            </w:r>
            <w:r w:rsidR="00B73D6D">
              <w:t>,</w:t>
            </w:r>
            <w:r w:rsidRPr="00DA7BE2">
              <w:t xml:space="preserve"> if not covered in coordinating instructions</w:t>
            </w:r>
          </w:p>
        </w:tc>
        <w:tc>
          <w:tcPr>
            <w:tcW w:w="6053" w:type="dxa"/>
            <w:gridSpan w:val="2"/>
            <w:shd w:val="clear" w:color="auto" w:fill="auto"/>
          </w:tcPr>
          <w:p w14:paraId="6998B392" w14:textId="77777777" w:rsidR="00344304" w:rsidRDefault="00344304" w:rsidP="000958B1">
            <w:pPr>
              <w:pStyle w:val="TableText0"/>
              <w:keepNext w:val="0"/>
            </w:pPr>
          </w:p>
          <w:p w14:paraId="39A17DB2" w14:textId="77777777" w:rsidR="00344304" w:rsidRPr="009A6E28" w:rsidRDefault="00344304" w:rsidP="000958B1">
            <w:pPr>
              <w:pStyle w:val="TableText0"/>
              <w:keepNext w:val="0"/>
            </w:pPr>
          </w:p>
        </w:tc>
      </w:tr>
      <w:tr w:rsidR="00344304" w:rsidRPr="00E43C2B" w14:paraId="79C050F8" w14:textId="77777777" w:rsidTr="006E645C">
        <w:trPr>
          <w:cantSplit/>
          <w:trHeight w:val="726"/>
        </w:trPr>
        <w:tc>
          <w:tcPr>
            <w:tcW w:w="2943" w:type="dxa"/>
            <w:shd w:val="clear" w:color="auto" w:fill="auto"/>
          </w:tcPr>
          <w:p w14:paraId="78FCFBA9" w14:textId="73CFECF7" w:rsidR="00344304" w:rsidRPr="00DA7BE2" w:rsidRDefault="00DA7BE2" w:rsidP="000958B1">
            <w:pPr>
              <w:pStyle w:val="TableText0"/>
              <w:keepNext w:val="0"/>
            </w:pPr>
            <w:r w:rsidRPr="00DA7BE2">
              <w:t xml:space="preserve">Induction </w:t>
            </w:r>
            <w:r>
              <w:t xml:space="preserve">and </w:t>
            </w:r>
            <w:r w:rsidRPr="00DA7BE2">
              <w:t>training</w:t>
            </w:r>
            <w:r w:rsidR="00B73D6D">
              <w:t>:</w:t>
            </w:r>
          </w:p>
          <w:p w14:paraId="1C4F7D34" w14:textId="77777777" w:rsidR="00344304" w:rsidRPr="00DA7BE2" w:rsidRDefault="00344304" w:rsidP="007F061C">
            <w:pPr>
              <w:pStyle w:val="TableBullet"/>
            </w:pPr>
            <w:r w:rsidRPr="00DA7BE2">
              <w:t>Timing, location</w:t>
            </w:r>
          </w:p>
        </w:tc>
        <w:tc>
          <w:tcPr>
            <w:tcW w:w="6053" w:type="dxa"/>
            <w:gridSpan w:val="2"/>
            <w:shd w:val="clear" w:color="auto" w:fill="auto"/>
          </w:tcPr>
          <w:p w14:paraId="3DBC3EC1" w14:textId="77777777" w:rsidR="00344304" w:rsidRPr="009A6E28" w:rsidRDefault="00344304" w:rsidP="000958B1">
            <w:pPr>
              <w:pStyle w:val="TableText0"/>
              <w:keepNext w:val="0"/>
            </w:pPr>
          </w:p>
        </w:tc>
      </w:tr>
      <w:tr w:rsidR="00344304" w:rsidRPr="00E43C2B" w14:paraId="0A2E7B98" w14:textId="77777777" w:rsidTr="006E645C">
        <w:trPr>
          <w:cantSplit/>
        </w:trPr>
        <w:tc>
          <w:tcPr>
            <w:tcW w:w="2943" w:type="dxa"/>
            <w:tcBorders>
              <w:bottom w:val="single" w:sz="4" w:space="0" w:color="auto"/>
            </w:tcBorders>
            <w:shd w:val="clear" w:color="auto" w:fill="auto"/>
          </w:tcPr>
          <w:p w14:paraId="315D0A34" w14:textId="4D0B3868" w:rsidR="00344304" w:rsidRPr="00DA7BE2" w:rsidRDefault="00DA7BE2" w:rsidP="000958B1">
            <w:pPr>
              <w:pStyle w:val="TableText0"/>
              <w:keepNext w:val="0"/>
            </w:pPr>
            <w:r w:rsidRPr="00DA7BE2">
              <w:t>Accommodation</w:t>
            </w:r>
            <w:r>
              <w:t>:</w:t>
            </w:r>
          </w:p>
          <w:p w14:paraId="67C04483" w14:textId="690F9985" w:rsidR="00344304" w:rsidRPr="00DA7BE2" w:rsidRDefault="00344304" w:rsidP="007F061C">
            <w:pPr>
              <w:pStyle w:val="TableBullet"/>
            </w:pPr>
            <w:r w:rsidRPr="00DA7BE2">
              <w:t>Arrangements, allocations</w:t>
            </w:r>
          </w:p>
        </w:tc>
        <w:tc>
          <w:tcPr>
            <w:tcW w:w="6053" w:type="dxa"/>
            <w:gridSpan w:val="2"/>
            <w:tcBorders>
              <w:bottom w:val="single" w:sz="4" w:space="0" w:color="auto"/>
            </w:tcBorders>
            <w:shd w:val="clear" w:color="auto" w:fill="auto"/>
          </w:tcPr>
          <w:p w14:paraId="0F494D7D" w14:textId="77777777" w:rsidR="00344304" w:rsidRPr="009A6E28" w:rsidRDefault="00344304" w:rsidP="000958B1">
            <w:pPr>
              <w:pStyle w:val="TableText0"/>
              <w:keepNext w:val="0"/>
            </w:pPr>
          </w:p>
        </w:tc>
      </w:tr>
      <w:tr w:rsidR="00344304" w:rsidRPr="00877377" w14:paraId="2120B612" w14:textId="77777777" w:rsidTr="006E645C">
        <w:trPr>
          <w:cantSplit/>
        </w:trPr>
        <w:tc>
          <w:tcPr>
            <w:tcW w:w="8996" w:type="dxa"/>
            <w:gridSpan w:val="3"/>
            <w:tcBorders>
              <w:top w:val="single" w:sz="4" w:space="0" w:color="auto"/>
            </w:tcBorders>
            <w:shd w:val="clear" w:color="auto" w:fill="D9D9D9" w:themeFill="background1" w:themeFillShade="D9"/>
          </w:tcPr>
          <w:p w14:paraId="71BE005C" w14:textId="0AC2C841" w:rsidR="00344304" w:rsidRPr="00877377" w:rsidRDefault="00877377" w:rsidP="000958B1">
            <w:pPr>
              <w:pStyle w:val="TableText0"/>
              <w:keepNext w:val="0"/>
              <w:rPr>
                <w:b/>
              </w:rPr>
            </w:pPr>
            <w:r w:rsidRPr="00877377">
              <w:rPr>
                <w:b/>
              </w:rPr>
              <w:t xml:space="preserve"> Control, coordination and communication</w:t>
            </w:r>
          </w:p>
        </w:tc>
      </w:tr>
      <w:tr w:rsidR="00344304" w:rsidRPr="00E43C2B" w14:paraId="369E287A" w14:textId="77777777" w:rsidTr="006E645C">
        <w:trPr>
          <w:cantSplit/>
        </w:trPr>
        <w:tc>
          <w:tcPr>
            <w:tcW w:w="2943" w:type="dxa"/>
            <w:shd w:val="clear" w:color="auto" w:fill="auto"/>
          </w:tcPr>
          <w:p w14:paraId="2E09C5C7" w14:textId="6D89174A" w:rsidR="00344304" w:rsidRPr="00877377" w:rsidRDefault="000958B1" w:rsidP="000958B1">
            <w:pPr>
              <w:pStyle w:val="TableText0"/>
              <w:keepNext w:val="0"/>
            </w:pPr>
            <w:r w:rsidRPr="00877377">
              <w:t xml:space="preserve">Control </w:t>
            </w:r>
            <w:r>
              <w:t>and</w:t>
            </w:r>
            <w:r w:rsidRPr="00877377">
              <w:t xml:space="preserve"> coordination structure</w:t>
            </w:r>
            <w:r>
              <w:t>:</w:t>
            </w:r>
          </w:p>
          <w:p w14:paraId="61146A11" w14:textId="628E4DB4" w:rsidR="00344304" w:rsidRPr="00877377" w:rsidRDefault="000958B1" w:rsidP="007F061C">
            <w:pPr>
              <w:pStyle w:val="TableBullet"/>
            </w:pPr>
            <w:r w:rsidRPr="00877377">
              <w:t>Referen</w:t>
            </w:r>
            <w:r w:rsidRPr="002207E2">
              <w:t xml:space="preserve">ce </w:t>
            </w:r>
            <w:r w:rsidR="002207E2" w:rsidRPr="002207E2">
              <w:t>s</w:t>
            </w:r>
            <w:r w:rsidR="00344304" w:rsidRPr="002207E2">
              <w:t>tructur</w:t>
            </w:r>
            <w:r w:rsidR="008A4AED" w:rsidRPr="002207E2">
              <w:t>e</w:t>
            </w:r>
            <w:r w:rsidR="00344304" w:rsidRPr="002207E2">
              <w:t xml:space="preserve"> </w:t>
            </w:r>
            <w:r w:rsidR="002207E2" w:rsidRPr="002207E2">
              <w:t>c</w:t>
            </w:r>
            <w:r w:rsidR="00344304" w:rsidRPr="002207E2">
              <w:t>hart</w:t>
            </w:r>
          </w:p>
        </w:tc>
        <w:tc>
          <w:tcPr>
            <w:tcW w:w="6053" w:type="dxa"/>
            <w:gridSpan w:val="2"/>
            <w:shd w:val="clear" w:color="auto" w:fill="auto"/>
          </w:tcPr>
          <w:p w14:paraId="6735F6C6" w14:textId="77777777" w:rsidR="00344304" w:rsidRDefault="00344304" w:rsidP="000958B1">
            <w:pPr>
              <w:pStyle w:val="TableText0"/>
              <w:keepNext w:val="0"/>
            </w:pPr>
          </w:p>
          <w:p w14:paraId="1C48F9A6" w14:textId="77777777" w:rsidR="00344304" w:rsidRPr="009A6E28" w:rsidRDefault="00344304" w:rsidP="000958B1">
            <w:pPr>
              <w:pStyle w:val="TableText0"/>
              <w:keepNext w:val="0"/>
            </w:pPr>
          </w:p>
        </w:tc>
      </w:tr>
      <w:tr w:rsidR="00344304" w:rsidRPr="00E43C2B" w14:paraId="3A2750C1" w14:textId="77777777" w:rsidTr="006E645C">
        <w:trPr>
          <w:cantSplit/>
        </w:trPr>
        <w:tc>
          <w:tcPr>
            <w:tcW w:w="2943" w:type="dxa"/>
            <w:shd w:val="clear" w:color="auto" w:fill="auto"/>
          </w:tcPr>
          <w:p w14:paraId="6E102D46" w14:textId="0847EBEE" w:rsidR="00344304" w:rsidRPr="00877377" w:rsidRDefault="000958B1" w:rsidP="000958B1">
            <w:pPr>
              <w:pStyle w:val="TableText0"/>
              <w:keepNext w:val="0"/>
            </w:pPr>
            <w:r w:rsidRPr="00877377">
              <w:t xml:space="preserve">Coordination </w:t>
            </w:r>
            <w:r>
              <w:t>and</w:t>
            </w:r>
            <w:r w:rsidRPr="00877377">
              <w:t xml:space="preserve"> liaison</w:t>
            </w:r>
            <w:r>
              <w:t>:</w:t>
            </w:r>
          </w:p>
          <w:p w14:paraId="7DA5CF10" w14:textId="2354A891" w:rsidR="00344304" w:rsidRPr="00877377" w:rsidRDefault="00344304" w:rsidP="007F061C">
            <w:pPr>
              <w:pStyle w:val="TableBullet"/>
            </w:pPr>
            <w:r w:rsidRPr="00877377">
              <w:t xml:space="preserve">Local knowledge, police, agency reps, emergency </w:t>
            </w:r>
            <w:r w:rsidR="00917CB6" w:rsidRPr="00877377">
              <w:t>management</w:t>
            </w:r>
            <w:r w:rsidRPr="00877377">
              <w:t xml:space="preserve"> reps</w:t>
            </w:r>
          </w:p>
        </w:tc>
        <w:tc>
          <w:tcPr>
            <w:tcW w:w="6053" w:type="dxa"/>
            <w:gridSpan w:val="2"/>
            <w:shd w:val="clear" w:color="auto" w:fill="auto"/>
          </w:tcPr>
          <w:p w14:paraId="7DD43A5E" w14:textId="77777777" w:rsidR="00344304" w:rsidRDefault="00344304" w:rsidP="000958B1">
            <w:pPr>
              <w:pStyle w:val="TableText0"/>
              <w:keepNext w:val="0"/>
            </w:pPr>
          </w:p>
          <w:p w14:paraId="51D02BA6" w14:textId="77777777" w:rsidR="00344304" w:rsidRPr="00E33E21" w:rsidRDefault="00344304" w:rsidP="000958B1">
            <w:pPr>
              <w:pStyle w:val="TableText0"/>
              <w:keepNext w:val="0"/>
            </w:pPr>
          </w:p>
        </w:tc>
      </w:tr>
      <w:tr w:rsidR="00344304" w:rsidRPr="00D57ACA" w14:paraId="0785D38B" w14:textId="77777777" w:rsidTr="006E645C">
        <w:trPr>
          <w:cantSplit/>
        </w:trPr>
        <w:tc>
          <w:tcPr>
            <w:tcW w:w="2943" w:type="dxa"/>
            <w:tcBorders>
              <w:bottom w:val="single" w:sz="4" w:space="0" w:color="auto"/>
            </w:tcBorders>
            <w:shd w:val="clear" w:color="auto" w:fill="auto"/>
          </w:tcPr>
          <w:p w14:paraId="3813BF94" w14:textId="7BAAAD40" w:rsidR="00344304" w:rsidRPr="00877377" w:rsidRDefault="000958B1" w:rsidP="000958B1">
            <w:pPr>
              <w:pStyle w:val="TableText0"/>
              <w:keepNext w:val="0"/>
            </w:pPr>
            <w:r w:rsidRPr="00877377">
              <w:t>Communications</w:t>
            </w:r>
            <w:r>
              <w:t>:</w:t>
            </w:r>
          </w:p>
          <w:p w14:paraId="68A962CF" w14:textId="68FE208D" w:rsidR="00344304" w:rsidRPr="00D57ACA" w:rsidRDefault="00344304" w:rsidP="007F061C">
            <w:pPr>
              <w:pStyle w:val="TableBullet"/>
              <w:rPr>
                <w:lang w:val="fr-FR"/>
              </w:rPr>
            </w:pPr>
            <w:r w:rsidRPr="00D57ACA">
              <w:rPr>
                <w:lang w:val="fr-FR"/>
              </w:rPr>
              <w:t>Communications structure, operation</w:t>
            </w:r>
            <w:r w:rsidR="008D68A7" w:rsidRPr="00D57ACA">
              <w:rPr>
                <w:lang w:val="fr-FR"/>
              </w:rPr>
              <w:t>s</w:t>
            </w:r>
            <w:r w:rsidRPr="00D57ACA">
              <w:rPr>
                <w:lang w:val="fr-FR"/>
              </w:rPr>
              <w:t xml:space="preserve"> comms plan, information </w:t>
            </w:r>
            <w:r w:rsidR="00917CB6" w:rsidRPr="00D57ACA">
              <w:rPr>
                <w:lang w:val="fr-FR"/>
              </w:rPr>
              <w:t>management</w:t>
            </w:r>
          </w:p>
        </w:tc>
        <w:tc>
          <w:tcPr>
            <w:tcW w:w="6053" w:type="dxa"/>
            <w:gridSpan w:val="2"/>
            <w:tcBorders>
              <w:bottom w:val="single" w:sz="4" w:space="0" w:color="auto"/>
            </w:tcBorders>
            <w:shd w:val="clear" w:color="auto" w:fill="auto"/>
          </w:tcPr>
          <w:p w14:paraId="45409B6E" w14:textId="77777777" w:rsidR="00344304" w:rsidRPr="00FC23FC" w:rsidRDefault="00344304" w:rsidP="000958B1">
            <w:pPr>
              <w:pStyle w:val="TableText0"/>
              <w:keepNext w:val="0"/>
              <w:rPr>
                <w:lang w:val="fr-FR"/>
              </w:rPr>
            </w:pPr>
          </w:p>
          <w:p w14:paraId="5A97AAF1" w14:textId="77777777" w:rsidR="00344304" w:rsidRPr="00FC23FC" w:rsidRDefault="00344304" w:rsidP="000958B1">
            <w:pPr>
              <w:pStyle w:val="TableText0"/>
              <w:keepNext w:val="0"/>
              <w:rPr>
                <w:lang w:val="fr-FR"/>
              </w:rPr>
            </w:pPr>
          </w:p>
        </w:tc>
      </w:tr>
      <w:tr w:rsidR="00AC1021" w:rsidRPr="000958B1" w14:paraId="241E64F1" w14:textId="77777777" w:rsidTr="006E645C">
        <w:trPr>
          <w:cantSplit/>
        </w:trPr>
        <w:tc>
          <w:tcPr>
            <w:tcW w:w="8996" w:type="dxa"/>
            <w:gridSpan w:val="3"/>
            <w:tcBorders>
              <w:top w:val="single" w:sz="4" w:space="0" w:color="auto"/>
            </w:tcBorders>
            <w:shd w:val="clear" w:color="auto" w:fill="D9D9D9" w:themeFill="background1" w:themeFillShade="D9"/>
          </w:tcPr>
          <w:p w14:paraId="469D85AF" w14:textId="11D109E8" w:rsidR="00AC1021" w:rsidRPr="000958B1" w:rsidRDefault="00AC1021" w:rsidP="000958B1">
            <w:pPr>
              <w:pStyle w:val="TableText0"/>
              <w:keepNext w:val="0"/>
              <w:rPr>
                <w:b/>
              </w:rPr>
            </w:pPr>
            <w:r w:rsidRPr="000958B1">
              <w:rPr>
                <w:b/>
              </w:rPr>
              <w:t>Safety</w:t>
            </w:r>
          </w:p>
        </w:tc>
      </w:tr>
      <w:tr w:rsidR="00367B75" w:rsidRPr="00E43C2B" w14:paraId="461ECA91" w14:textId="77777777" w:rsidTr="006E645C">
        <w:trPr>
          <w:cantSplit/>
        </w:trPr>
        <w:tc>
          <w:tcPr>
            <w:tcW w:w="2943" w:type="dxa"/>
            <w:tcBorders>
              <w:bottom w:val="single" w:sz="4" w:space="0" w:color="auto"/>
            </w:tcBorders>
            <w:shd w:val="clear" w:color="auto" w:fill="FFFFFF" w:themeFill="background1"/>
          </w:tcPr>
          <w:p w14:paraId="1193EE3B" w14:textId="4A32AE66" w:rsidR="00367B75" w:rsidRPr="00877377" w:rsidRDefault="000958B1" w:rsidP="000958B1">
            <w:pPr>
              <w:pStyle w:val="TableText0"/>
              <w:keepNext w:val="0"/>
            </w:pPr>
            <w:r>
              <w:t xml:space="preserve">WHS, </w:t>
            </w:r>
            <w:r w:rsidRPr="00877377">
              <w:t>medical</w:t>
            </w:r>
            <w:r>
              <w:t>:</w:t>
            </w:r>
          </w:p>
          <w:p w14:paraId="4723BE56" w14:textId="15596DF4" w:rsidR="00367B75" w:rsidRPr="00877377" w:rsidRDefault="00367B75" w:rsidP="007F061C">
            <w:pPr>
              <w:pStyle w:val="TableBullet"/>
            </w:pPr>
            <w:r w:rsidRPr="00877377">
              <w:t xml:space="preserve">Medical plan, first aid plan </w:t>
            </w:r>
            <w:r w:rsidR="000958B1">
              <w:t>(</w:t>
            </w:r>
            <w:r w:rsidRPr="00877377">
              <w:t>attach key points here</w:t>
            </w:r>
            <w:r w:rsidR="000958B1">
              <w:t>)</w:t>
            </w:r>
          </w:p>
        </w:tc>
        <w:tc>
          <w:tcPr>
            <w:tcW w:w="6053" w:type="dxa"/>
            <w:gridSpan w:val="2"/>
            <w:tcBorders>
              <w:bottom w:val="single" w:sz="4" w:space="0" w:color="auto"/>
            </w:tcBorders>
            <w:shd w:val="clear" w:color="auto" w:fill="FFFFFF" w:themeFill="background1"/>
          </w:tcPr>
          <w:p w14:paraId="275D6CAC" w14:textId="2F8CC9BA" w:rsidR="00367B75" w:rsidRPr="00AC1021" w:rsidRDefault="00367B75" w:rsidP="000958B1">
            <w:pPr>
              <w:pStyle w:val="TableText0"/>
              <w:keepNext w:val="0"/>
            </w:pPr>
          </w:p>
        </w:tc>
      </w:tr>
      <w:tr w:rsidR="00344304" w:rsidRPr="000958B1" w14:paraId="71155151" w14:textId="77777777" w:rsidTr="006E645C">
        <w:trPr>
          <w:cantSplit/>
        </w:trPr>
        <w:tc>
          <w:tcPr>
            <w:tcW w:w="8996" w:type="dxa"/>
            <w:gridSpan w:val="3"/>
            <w:tcBorders>
              <w:top w:val="single" w:sz="4" w:space="0" w:color="auto"/>
            </w:tcBorders>
            <w:shd w:val="clear" w:color="auto" w:fill="D9D9D9" w:themeFill="background1" w:themeFillShade="D9"/>
          </w:tcPr>
          <w:p w14:paraId="134C4C3C" w14:textId="591CE11A" w:rsidR="00344304" w:rsidRPr="000958B1" w:rsidRDefault="000958B1" w:rsidP="000958B1">
            <w:pPr>
              <w:pStyle w:val="TableText0"/>
              <w:keepNext w:val="0"/>
              <w:rPr>
                <w:b/>
              </w:rPr>
            </w:pPr>
            <w:r w:rsidRPr="000958B1">
              <w:rPr>
                <w:b/>
              </w:rPr>
              <w:t>Extras</w:t>
            </w:r>
          </w:p>
        </w:tc>
      </w:tr>
      <w:tr w:rsidR="00344304" w:rsidRPr="000958B1" w14:paraId="4CDF8337" w14:textId="77777777" w:rsidTr="006E645C">
        <w:trPr>
          <w:cantSplit/>
          <w:trHeight w:val="807"/>
        </w:trPr>
        <w:tc>
          <w:tcPr>
            <w:tcW w:w="2943" w:type="dxa"/>
            <w:shd w:val="clear" w:color="auto" w:fill="auto"/>
          </w:tcPr>
          <w:p w14:paraId="43FA03C2" w14:textId="66AC755A" w:rsidR="00344304" w:rsidRPr="000958B1" w:rsidRDefault="00344304" w:rsidP="00762A8B">
            <w:pPr>
              <w:pStyle w:val="TableText0"/>
              <w:keepNext w:val="0"/>
            </w:pPr>
            <w:r w:rsidRPr="000958B1">
              <w:t>Attachments</w:t>
            </w:r>
          </w:p>
        </w:tc>
        <w:tc>
          <w:tcPr>
            <w:tcW w:w="6053" w:type="dxa"/>
            <w:gridSpan w:val="2"/>
            <w:shd w:val="clear" w:color="auto" w:fill="auto"/>
          </w:tcPr>
          <w:p w14:paraId="6FC8B8F3" w14:textId="77777777" w:rsidR="00762A8B" w:rsidRDefault="00762A8B" w:rsidP="000958B1">
            <w:pPr>
              <w:pStyle w:val="TableText0"/>
              <w:keepNext w:val="0"/>
            </w:pPr>
            <w:r>
              <w:t>M</w:t>
            </w:r>
            <w:r w:rsidRPr="000958B1">
              <w:t xml:space="preserve">aps, weather </w:t>
            </w:r>
          </w:p>
          <w:p w14:paraId="696EFC6C" w14:textId="4C80444A" w:rsidR="00344304" w:rsidRPr="000958B1" w:rsidRDefault="00344304" w:rsidP="000958B1">
            <w:pPr>
              <w:pStyle w:val="TableText0"/>
              <w:keepNext w:val="0"/>
            </w:pPr>
            <w:r w:rsidRPr="000958B1">
              <w:t>Organisational chart</w:t>
            </w:r>
          </w:p>
          <w:p w14:paraId="61D697FE" w14:textId="2DE1E90D" w:rsidR="00344304" w:rsidRPr="000958B1" w:rsidRDefault="00344304" w:rsidP="000958B1">
            <w:pPr>
              <w:pStyle w:val="TableText0"/>
              <w:keepNext w:val="0"/>
            </w:pPr>
            <w:r w:rsidRPr="000958B1">
              <w:t>Communications</w:t>
            </w:r>
            <w:r w:rsidR="000958B1">
              <w:t xml:space="preserve">, </w:t>
            </w:r>
            <w:r w:rsidRPr="000958B1">
              <w:t xml:space="preserve">Community Engagement </w:t>
            </w:r>
            <w:r w:rsidR="000958B1">
              <w:t xml:space="preserve">and Media </w:t>
            </w:r>
            <w:r w:rsidRPr="000958B1">
              <w:t>Plan</w:t>
            </w:r>
          </w:p>
          <w:p w14:paraId="0091E689" w14:textId="77777777" w:rsidR="00344304" w:rsidRPr="000958B1" w:rsidRDefault="00344304" w:rsidP="000958B1">
            <w:pPr>
              <w:pStyle w:val="TableText0"/>
              <w:keepNext w:val="0"/>
            </w:pPr>
            <w:r w:rsidRPr="000958B1">
              <w:t>Resources Plan</w:t>
            </w:r>
          </w:p>
          <w:p w14:paraId="271E34E2" w14:textId="4EB66B58" w:rsidR="00344304" w:rsidRPr="000958B1" w:rsidRDefault="00344304" w:rsidP="000958B1">
            <w:pPr>
              <w:pStyle w:val="TableText0"/>
              <w:keepNext w:val="0"/>
            </w:pPr>
            <w:r w:rsidRPr="000958B1">
              <w:t>Medical Plan</w:t>
            </w:r>
            <w:r w:rsidR="000958B1">
              <w:t xml:space="preserve">, </w:t>
            </w:r>
            <w:r w:rsidR="001219F0" w:rsidRPr="000958B1">
              <w:t>Evacuation Plan</w:t>
            </w:r>
          </w:p>
        </w:tc>
      </w:tr>
      <w:tr w:rsidR="006E6925" w:rsidRPr="000958B1" w14:paraId="78B26E8C" w14:textId="77777777" w:rsidTr="006E645C">
        <w:trPr>
          <w:cantSplit/>
        </w:trPr>
        <w:tc>
          <w:tcPr>
            <w:tcW w:w="2943" w:type="dxa"/>
            <w:shd w:val="clear" w:color="auto" w:fill="auto"/>
          </w:tcPr>
          <w:p w14:paraId="090EEA9C" w14:textId="4740DDB8" w:rsidR="006E6925" w:rsidRPr="000958B1" w:rsidRDefault="006E6925" w:rsidP="000958B1">
            <w:pPr>
              <w:pStyle w:val="TableText0"/>
              <w:keepNext w:val="0"/>
            </w:pPr>
            <w:r w:rsidRPr="000958B1">
              <w:t xml:space="preserve">Plan developer </w:t>
            </w:r>
            <w:r w:rsidR="000958B1">
              <w:t>and</w:t>
            </w:r>
            <w:r w:rsidRPr="000958B1">
              <w:t xml:space="preserve"> recommendation</w:t>
            </w:r>
          </w:p>
          <w:p w14:paraId="5DEAF5AF" w14:textId="1E86B203" w:rsidR="006E6925" w:rsidRPr="000958B1" w:rsidRDefault="006E6925" w:rsidP="000958B1">
            <w:pPr>
              <w:pStyle w:val="TableText0"/>
              <w:keepNext w:val="0"/>
            </w:pPr>
            <w:r w:rsidRPr="000958B1">
              <w:t>D</w:t>
            </w:r>
            <w:r w:rsidR="00B73D6D">
              <w:t>ate and time</w:t>
            </w:r>
          </w:p>
        </w:tc>
        <w:tc>
          <w:tcPr>
            <w:tcW w:w="2736" w:type="dxa"/>
            <w:shd w:val="clear" w:color="auto" w:fill="auto"/>
          </w:tcPr>
          <w:p w14:paraId="00B00E0B" w14:textId="5120714C" w:rsidR="006E6925" w:rsidRPr="000958B1" w:rsidRDefault="006E6925" w:rsidP="000958B1">
            <w:pPr>
              <w:pStyle w:val="TableText0"/>
              <w:keepNext w:val="0"/>
            </w:pPr>
            <w:r w:rsidRPr="000958B1">
              <w:t>Planning Officer</w:t>
            </w:r>
            <w:r w:rsidR="000958B1">
              <w:t>,</w:t>
            </w:r>
            <w:r w:rsidRPr="000958B1">
              <w:t xml:space="preserve"> Logistics Manager</w:t>
            </w:r>
          </w:p>
        </w:tc>
        <w:tc>
          <w:tcPr>
            <w:tcW w:w="3317" w:type="dxa"/>
            <w:shd w:val="clear" w:color="auto" w:fill="auto"/>
          </w:tcPr>
          <w:p w14:paraId="43D25FCF" w14:textId="71D9BB12" w:rsidR="006E6925" w:rsidRPr="000958B1" w:rsidRDefault="006E6925" w:rsidP="000958B1">
            <w:pPr>
              <w:pStyle w:val="TableText0"/>
              <w:keepNext w:val="0"/>
            </w:pPr>
            <w:r w:rsidRPr="000958B1">
              <w:t>Controller</w:t>
            </w:r>
          </w:p>
        </w:tc>
      </w:tr>
      <w:tr w:rsidR="006E6925" w:rsidRPr="000958B1" w14:paraId="73946FBB" w14:textId="77777777" w:rsidTr="006E645C">
        <w:trPr>
          <w:cantSplit/>
        </w:trPr>
        <w:tc>
          <w:tcPr>
            <w:tcW w:w="2943" w:type="dxa"/>
            <w:tcBorders>
              <w:bottom w:val="single" w:sz="4" w:space="0" w:color="auto"/>
            </w:tcBorders>
            <w:shd w:val="clear" w:color="auto" w:fill="auto"/>
          </w:tcPr>
          <w:p w14:paraId="7047F5B4" w14:textId="77777777" w:rsidR="006E6925" w:rsidRPr="000958B1" w:rsidRDefault="006E6925" w:rsidP="000958B1">
            <w:pPr>
              <w:pStyle w:val="TableText0"/>
              <w:keepNext w:val="0"/>
            </w:pPr>
            <w:r w:rsidRPr="000958B1">
              <w:t>Approval</w:t>
            </w:r>
          </w:p>
          <w:p w14:paraId="7B4A279A" w14:textId="3067F296" w:rsidR="006E6925" w:rsidRPr="000958B1" w:rsidRDefault="006E6925" w:rsidP="000958B1">
            <w:pPr>
              <w:pStyle w:val="TableText0"/>
              <w:keepNext w:val="0"/>
            </w:pPr>
            <w:r w:rsidRPr="000958B1">
              <w:t>D</w:t>
            </w:r>
            <w:r w:rsidR="00B73D6D">
              <w:t>ate and time</w:t>
            </w:r>
          </w:p>
        </w:tc>
        <w:tc>
          <w:tcPr>
            <w:tcW w:w="2736" w:type="dxa"/>
            <w:tcBorders>
              <w:bottom w:val="single" w:sz="4" w:space="0" w:color="auto"/>
            </w:tcBorders>
            <w:shd w:val="clear" w:color="auto" w:fill="auto"/>
          </w:tcPr>
          <w:p w14:paraId="696C1370" w14:textId="64A74906" w:rsidR="006E6925" w:rsidRPr="000958B1" w:rsidRDefault="006E6925" w:rsidP="000958B1">
            <w:pPr>
              <w:pStyle w:val="TableText0"/>
              <w:keepNext w:val="0"/>
            </w:pPr>
            <w:r w:rsidRPr="000958B1">
              <w:t>Operations Manager</w:t>
            </w:r>
            <w:r w:rsidR="000958B1">
              <w:t>,</w:t>
            </w:r>
            <w:r w:rsidRPr="000958B1">
              <w:t xml:space="preserve"> Planning Manager</w:t>
            </w:r>
          </w:p>
        </w:tc>
        <w:tc>
          <w:tcPr>
            <w:tcW w:w="3317" w:type="dxa"/>
            <w:tcBorders>
              <w:bottom w:val="single" w:sz="4" w:space="0" w:color="auto"/>
            </w:tcBorders>
            <w:shd w:val="clear" w:color="auto" w:fill="auto"/>
          </w:tcPr>
          <w:p w14:paraId="66DE273E" w14:textId="55CE94DA" w:rsidR="006E6925" w:rsidRPr="000958B1" w:rsidRDefault="006E6925" w:rsidP="000958B1">
            <w:pPr>
              <w:pStyle w:val="TableText0"/>
              <w:keepNext w:val="0"/>
            </w:pPr>
            <w:r w:rsidRPr="000958B1">
              <w:t>Controller</w:t>
            </w:r>
          </w:p>
        </w:tc>
      </w:tr>
    </w:tbl>
    <w:p w14:paraId="45DD184D" w14:textId="506F37CE" w:rsidR="00367B75" w:rsidRDefault="00DA7BE2" w:rsidP="00DA7BE2">
      <w:pPr>
        <w:pStyle w:val="TFAbbrevsSpace"/>
      </w:pPr>
      <w:r>
        <w:t>FCP = Forward Command Post</w:t>
      </w:r>
      <w:r w:rsidR="000958B1">
        <w:t xml:space="preserve">; </w:t>
      </w:r>
      <w:r w:rsidR="00BC2E0B">
        <w:t>SMART = Specific, Measurable, Attainable, Realistic and Timely</w:t>
      </w:r>
      <w:r w:rsidR="00762A8B">
        <w:t>;</w:t>
      </w:r>
      <w:r w:rsidR="00BC2E0B">
        <w:t xml:space="preserve"> </w:t>
      </w:r>
      <w:r w:rsidR="000958B1">
        <w:t>WHS = work health and asfety</w:t>
      </w:r>
    </w:p>
    <w:p w14:paraId="34A38248" w14:textId="0F2C8EA4" w:rsidR="000E6E1B" w:rsidRDefault="00A80AEB" w:rsidP="00A80AEB">
      <w:pPr>
        <w:pStyle w:val="Heading1"/>
      </w:pPr>
      <w:bookmarkStart w:id="131" w:name="_Toc529783803"/>
      <w:bookmarkStart w:id="132" w:name="_Hlk508712950"/>
      <w:r w:rsidRPr="00864872">
        <w:t xml:space="preserve">Appendix </w:t>
      </w:r>
      <w:r w:rsidR="000266D1">
        <w:t>7</w:t>
      </w:r>
      <w:r w:rsidRPr="00864872">
        <w:tab/>
      </w:r>
      <w:r w:rsidR="00DC39A2" w:rsidRPr="00864872">
        <w:t>O</w:t>
      </w:r>
      <w:r w:rsidR="000E6E1B" w:rsidRPr="00864872">
        <w:t>utputs</w:t>
      </w:r>
      <w:r w:rsidR="00DC39A2" w:rsidRPr="00864872">
        <w:t xml:space="preserve">, </w:t>
      </w:r>
      <w:r w:rsidR="000E6E1B" w:rsidRPr="00864872">
        <w:t xml:space="preserve">outcomes </w:t>
      </w:r>
      <w:r w:rsidR="00BF42A8" w:rsidRPr="00864872">
        <w:t xml:space="preserve">and </w:t>
      </w:r>
      <w:r w:rsidR="000E6E1B" w:rsidRPr="00864872">
        <w:t>function/role</w:t>
      </w:r>
      <w:r w:rsidR="000E6E1B" w:rsidRPr="00290030">
        <w:t xml:space="preserve"> responsible for system</w:t>
      </w:r>
      <w:r w:rsidR="00DC39A2">
        <w:t>s</w:t>
      </w:r>
      <w:bookmarkEnd w:id="131"/>
    </w:p>
    <w:p w14:paraId="245E1954" w14:textId="3C93A916" w:rsidR="00EA3F63" w:rsidRPr="00EA3F63" w:rsidRDefault="00EA3F63" w:rsidP="00EA3F63">
      <w:pPr>
        <w:pStyle w:val="TableName"/>
      </w:pPr>
      <w:bookmarkStart w:id="133" w:name="_Toc527712888"/>
      <w:r>
        <w:t>Table A7.1</w:t>
      </w:r>
      <w:r>
        <w:tab/>
        <w:t>Outputs, outcomes and respons</w:t>
      </w:r>
      <w:r w:rsidR="00FB70E4">
        <w:t>i</w:t>
      </w:r>
      <w:r>
        <w:t>bility</w:t>
      </w:r>
      <w:bookmarkEnd w:id="13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85"/>
        <w:gridCol w:w="2970"/>
        <w:gridCol w:w="2340"/>
        <w:gridCol w:w="1821"/>
      </w:tblGrid>
      <w:tr w:rsidR="000E6E1B" w:rsidRPr="007F061C" w14:paraId="118E9B11" w14:textId="77777777" w:rsidTr="004E4C48">
        <w:trPr>
          <w:cantSplit/>
          <w:tblHeader/>
        </w:trPr>
        <w:tc>
          <w:tcPr>
            <w:tcW w:w="1885" w:type="dxa"/>
            <w:tcBorders>
              <w:top w:val="single" w:sz="4" w:space="0" w:color="auto"/>
              <w:bottom w:val="single" w:sz="4" w:space="0" w:color="auto"/>
            </w:tcBorders>
            <w:shd w:val="clear" w:color="auto" w:fill="auto"/>
            <w:vAlign w:val="center"/>
          </w:tcPr>
          <w:bookmarkEnd w:id="132"/>
          <w:p w14:paraId="7FC9DD3E" w14:textId="77777777" w:rsidR="000E6E1B" w:rsidRPr="007F061C" w:rsidRDefault="000E6E1B" w:rsidP="007F061C">
            <w:pPr>
              <w:pStyle w:val="TableHeading"/>
            </w:pPr>
            <w:r w:rsidRPr="007F061C">
              <w:t> System</w:t>
            </w:r>
          </w:p>
        </w:tc>
        <w:tc>
          <w:tcPr>
            <w:tcW w:w="2970" w:type="dxa"/>
            <w:tcBorders>
              <w:top w:val="single" w:sz="4" w:space="0" w:color="auto"/>
              <w:bottom w:val="single" w:sz="4" w:space="0" w:color="auto"/>
            </w:tcBorders>
            <w:shd w:val="clear" w:color="auto" w:fill="auto"/>
            <w:vAlign w:val="center"/>
          </w:tcPr>
          <w:p w14:paraId="7E399299" w14:textId="548135E2" w:rsidR="000E6E1B" w:rsidRPr="007F061C" w:rsidRDefault="000E6E1B" w:rsidP="007F061C">
            <w:pPr>
              <w:pStyle w:val="TableHeading"/>
            </w:pPr>
            <w:r w:rsidRPr="007F061C">
              <w:t xml:space="preserve"> Outputs </w:t>
            </w:r>
            <w:r w:rsidR="007F061C">
              <w:t>–</w:t>
            </w:r>
            <w:r w:rsidRPr="007F061C">
              <w:t xml:space="preserve"> written</w:t>
            </w:r>
          </w:p>
        </w:tc>
        <w:tc>
          <w:tcPr>
            <w:tcW w:w="2340" w:type="dxa"/>
            <w:tcBorders>
              <w:top w:val="single" w:sz="4" w:space="0" w:color="auto"/>
              <w:bottom w:val="single" w:sz="4" w:space="0" w:color="auto"/>
            </w:tcBorders>
            <w:shd w:val="clear" w:color="auto" w:fill="auto"/>
            <w:vAlign w:val="center"/>
          </w:tcPr>
          <w:p w14:paraId="01B9FA30" w14:textId="77777777" w:rsidR="000E6E1B" w:rsidRPr="007F061C" w:rsidRDefault="000E6E1B" w:rsidP="007F061C">
            <w:pPr>
              <w:pStyle w:val="TableHeading"/>
            </w:pPr>
            <w:r w:rsidRPr="007F061C">
              <w:t> Outcome</w:t>
            </w:r>
          </w:p>
        </w:tc>
        <w:tc>
          <w:tcPr>
            <w:tcW w:w="1821" w:type="dxa"/>
            <w:tcBorders>
              <w:top w:val="single" w:sz="4" w:space="0" w:color="auto"/>
              <w:bottom w:val="single" w:sz="4" w:space="0" w:color="auto"/>
            </w:tcBorders>
            <w:shd w:val="clear" w:color="auto" w:fill="auto"/>
            <w:vAlign w:val="center"/>
          </w:tcPr>
          <w:p w14:paraId="56BFA7A0" w14:textId="457DF677" w:rsidR="000E6E1B" w:rsidRPr="007F061C" w:rsidRDefault="000E6E1B" w:rsidP="007F061C">
            <w:pPr>
              <w:pStyle w:val="TableHeading"/>
            </w:pPr>
            <w:r w:rsidRPr="007F061C">
              <w:t>Responsibility</w:t>
            </w:r>
            <w:r w:rsidR="00473367" w:rsidRPr="007F061C">
              <w:t xml:space="preserve"> </w:t>
            </w:r>
          </w:p>
        </w:tc>
      </w:tr>
      <w:tr w:rsidR="000E6E1B" w:rsidRPr="00756690" w14:paraId="5126DFAF" w14:textId="77777777" w:rsidTr="00722234">
        <w:trPr>
          <w:cantSplit/>
          <w:trHeight w:val="2159"/>
        </w:trPr>
        <w:tc>
          <w:tcPr>
            <w:tcW w:w="1885" w:type="dxa"/>
            <w:tcBorders>
              <w:top w:val="single" w:sz="4" w:space="0" w:color="auto"/>
              <w:bottom w:val="single" w:sz="4" w:space="0" w:color="auto"/>
            </w:tcBorders>
            <w:shd w:val="clear" w:color="auto" w:fill="auto"/>
          </w:tcPr>
          <w:p w14:paraId="26DFA1E9" w14:textId="0C6500C9" w:rsidR="000E6E1B" w:rsidRPr="00756690" w:rsidRDefault="000E6E1B" w:rsidP="00756690">
            <w:pPr>
              <w:pStyle w:val="TableText0"/>
            </w:pPr>
            <w:r w:rsidRPr="00756690">
              <w:t xml:space="preserve">Accounts </w:t>
            </w:r>
            <w:r w:rsidR="002B7313" w:rsidRPr="00756690">
              <w:t>mana</w:t>
            </w:r>
            <w:r w:rsidRPr="00756690">
              <w:t>g</w:t>
            </w:r>
            <w:r w:rsidR="002B7313" w:rsidRPr="00756690">
              <w:t>emen</w:t>
            </w:r>
            <w:r w:rsidRPr="00756690">
              <w:t>t system</w:t>
            </w:r>
          </w:p>
        </w:tc>
        <w:tc>
          <w:tcPr>
            <w:tcW w:w="2970" w:type="dxa"/>
            <w:tcBorders>
              <w:top w:val="single" w:sz="4" w:space="0" w:color="auto"/>
              <w:bottom w:val="single" w:sz="4" w:space="0" w:color="auto"/>
            </w:tcBorders>
            <w:shd w:val="clear" w:color="auto" w:fill="auto"/>
          </w:tcPr>
          <w:p w14:paraId="6C532D1A" w14:textId="19DBD26C" w:rsidR="000E6E1B" w:rsidRPr="00756690" w:rsidRDefault="000E6E1B" w:rsidP="007F061C">
            <w:pPr>
              <w:pStyle w:val="TableBullet"/>
            </w:pPr>
            <w:r w:rsidRPr="00756690">
              <w:t xml:space="preserve">Task </w:t>
            </w:r>
            <w:r w:rsidR="007F061C">
              <w:t>r</w:t>
            </w:r>
            <w:r w:rsidRPr="00756690">
              <w:t xml:space="preserve">equest for each task where </w:t>
            </w:r>
            <w:r w:rsidR="002B7313" w:rsidRPr="00756690">
              <w:t>money has been</w:t>
            </w:r>
            <w:r w:rsidRPr="00756690">
              <w:t xml:space="preserve"> spent</w:t>
            </w:r>
          </w:p>
          <w:p w14:paraId="4DF626E5" w14:textId="77777777" w:rsidR="000E6E1B" w:rsidRPr="00756690" w:rsidRDefault="000E6E1B" w:rsidP="007F061C">
            <w:pPr>
              <w:pStyle w:val="TableBullet"/>
            </w:pPr>
            <w:r w:rsidRPr="00756690">
              <w:t>Accounts report</w:t>
            </w:r>
          </w:p>
          <w:p w14:paraId="773F011F" w14:textId="77777777" w:rsidR="000E6E1B" w:rsidRPr="00756690" w:rsidRDefault="000E6E1B" w:rsidP="007F061C">
            <w:pPr>
              <w:pStyle w:val="TableBullet"/>
            </w:pPr>
            <w:r w:rsidRPr="00756690">
              <w:t>Accounts payment processing system</w:t>
            </w:r>
          </w:p>
          <w:p w14:paraId="471AEB9C" w14:textId="77777777" w:rsidR="000E6E1B" w:rsidRPr="00756690" w:rsidRDefault="000E6E1B" w:rsidP="007F061C">
            <w:pPr>
              <w:pStyle w:val="TableBullet"/>
            </w:pPr>
            <w:r w:rsidRPr="00756690">
              <w:t>Purchase orders</w:t>
            </w:r>
          </w:p>
          <w:p w14:paraId="6ECDA87E" w14:textId="77777777" w:rsidR="000E6E1B" w:rsidRPr="00756690" w:rsidRDefault="000E6E1B" w:rsidP="007F061C">
            <w:pPr>
              <w:pStyle w:val="TableBullet"/>
            </w:pPr>
            <w:r w:rsidRPr="00756690">
              <w:t>Invoices</w:t>
            </w:r>
          </w:p>
          <w:p w14:paraId="62C5EE65" w14:textId="77777777" w:rsidR="000E6E1B" w:rsidRPr="00756690" w:rsidRDefault="000E6E1B" w:rsidP="007F061C">
            <w:pPr>
              <w:pStyle w:val="TableBullet"/>
            </w:pPr>
            <w:r w:rsidRPr="00756690">
              <w:t>Credit card statements</w:t>
            </w:r>
          </w:p>
          <w:p w14:paraId="5E578603" w14:textId="77777777" w:rsidR="000E6E1B" w:rsidRPr="00756690" w:rsidRDefault="000E6E1B" w:rsidP="007F061C">
            <w:pPr>
              <w:pStyle w:val="TableBullet"/>
            </w:pPr>
            <w:r w:rsidRPr="00756690">
              <w:t>Petty cash transactions records</w:t>
            </w:r>
          </w:p>
        </w:tc>
        <w:tc>
          <w:tcPr>
            <w:tcW w:w="2340" w:type="dxa"/>
            <w:tcBorders>
              <w:top w:val="single" w:sz="4" w:space="0" w:color="auto"/>
              <w:bottom w:val="single" w:sz="4" w:space="0" w:color="auto"/>
            </w:tcBorders>
            <w:shd w:val="clear" w:color="auto" w:fill="auto"/>
          </w:tcPr>
          <w:p w14:paraId="5EBCFB74" w14:textId="212443F1" w:rsidR="000E6E1B" w:rsidRPr="00756690" w:rsidRDefault="000E6E1B" w:rsidP="007F061C">
            <w:pPr>
              <w:pStyle w:val="TableBullet"/>
            </w:pPr>
            <w:r w:rsidRPr="00756690">
              <w:t>Budget reports</w:t>
            </w:r>
          </w:p>
          <w:p w14:paraId="13076D3B" w14:textId="77777777" w:rsidR="000E6E1B" w:rsidRPr="00756690" w:rsidRDefault="000E6E1B" w:rsidP="007F061C">
            <w:pPr>
              <w:pStyle w:val="TableBullet"/>
            </w:pPr>
            <w:r w:rsidRPr="00756690">
              <w:t>Accounts received and paid on time</w:t>
            </w:r>
          </w:p>
          <w:p w14:paraId="1EF62CFA" w14:textId="77777777" w:rsidR="000E6E1B" w:rsidRPr="00756690" w:rsidRDefault="000E6E1B" w:rsidP="00756690">
            <w:pPr>
              <w:pStyle w:val="TableText0"/>
            </w:pPr>
            <w:r w:rsidRPr="00756690">
              <w:t> </w:t>
            </w:r>
          </w:p>
        </w:tc>
        <w:tc>
          <w:tcPr>
            <w:tcW w:w="1821" w:type="dxa"/>
            <w:tcBorders>
              <w:top w:val="single" w:sz="4" w:space="0" w:color="auto"/>
              <w:bottom w:val="single" w:sz="4" w:space="0" w:color="auto"/>
            </w:tcBorders>
            <w:shd w:val="clear" w:color="auto" w:fill="auto"/>
          </w:tcPr>
          <w:p w14:paraId="4CCACAC9" w14:textId="034C3FE2" w:rsidR="000E6E1B" w:rsidRPr="00756690" w:rsidRDefault="000E6E1B" w:rsidP="00756690">
            <w:pPr>
              <w:pStyle w:val="TableText0"/>
            </w:pPr>
            <w:r w:rsidRPr="00BE77EA">
              <w:t>LCC</w:t>
            </w:r>
            <w:r w:rsidRPr="00756690">
              <w:t xml:space="preserve"> </w:t>
            </w:r>
            <w:r w:rsidR="00F62AAA">
              <w:t>a</w:t>
            </w:r>
            <w:r w:rsidRPr="00756690">
              <w:t>ccounts payable/receivable</w:t>
            </w:r>
          </w:p>
          <w:p w14:paraId="54B8D096" w14:textId="630960BF" w:rsidR="00473367" w:rsidRPr="00756690" w:rsidRDefault="00473367" w:rsidP="00756690">
            <w:pPr>
              <w:pStyle w:val="TableText0"/>
            </w:pPr>
            <w:r w:rsidRPr="00756690">
              <w:t>Logistics</w:t>
            </w:r>
          </w:p>
        </w:tc>
      </w:tr>
      <w:tr w:rsidR="000E6E1B" w:rsidRPr="00756690" w14:paraId="675C1251" w14:textId="77777777" w:rsidTr="00722234">
        <w:trPr>
          <w:cantSplit/>
          <w:trHeight w:val="1133"/>
        </w:trPr>
        <w:tc>
          <w:tcPr>
            <w:tcW w:w="1885" w:type="dxa"/>
            <w:tcBorders>
              <w:top w:val="single" w:sz="4" w:space="0" w:color="auto"/>
              <w:bottom w:val="single" w:sz="4" w:space="0" w:color="auto"/>
            </w:tcBorders>
            <w:shd w:val="clear" w:color="auto" w:fill="auto"/>
          </w:tcPr>
          <w:p w14:paraId="134DEF65" w14:textId="1F3B6A04" w:rsidR="000E6E1B" w:rsidRPr="00756690" w:rsidRDefault="000E6E1B" w:rsidP="00756690">
            <w:pPr>
              <w:pStyle w:val="TableText0"/>
            </w:pPr>
            <w:r w:rsidRPr="00756690">
              <w:t>Accommodation register</w:t>
            </w:r>
          </w:p>
        </w:tc>
        <w:tc>
          <w:tcPr>
            <w:tcW w:w="2970" w:type="dxa"/>
            <w:tcBorders>
              <w:top w:val="single" w:sz="4" w:space="0" w:color="auto"/>
              <w:bottom w:val="single" w:sz="4" w:space="0" w:color="auto"/>
            </w:tcBorders>
            <w:shd w:val="clear" w:color="auto" w:fill="auto"/>
          </w:tcPr>
          <w:p w14:paraId="2FE5ACB1" w14:textId="17AEF79C" w:rsidR="000E6E1B" w:rsidRPr="00756690" w:rsidRDefault="000E6E1B" w:rsidP="007F061C">
            <w:pPr>
              <w:pStyle w:val="TableBullet"/>
            </w:pPr>
            <w:r w:rsidRPr="00756690">
              <w:t>Accommodation list</w:t>
            </w:r>
            <w:r w:rsidR="007F061C">
              <w:t>,</w:t>
            </w:r>
            <w:r w:rsidRPr="00756690">
              <w:t xml:space="preserve"> incl</w:t>
            </w:r>
            <w:r w:rsidR="00AC022D" w:rsidRPr="00756690">
              <w:t>uding</w:t>
            </w:r>
            <w:r w:rsidRPr="00756690">
              <w:t xml:space="preserve"> providers</w:t>
            </w:r>
          </w:p>
          <w:p w14:paraId="191EC238" w14:textId="77777777" w:rsidR="000E6E1B" w:rsidRPr="00756690" w:rsidRDefault="000E6E1B" w:rsidP="007F061C">
            <w:pPr>
              <w:pStyle w:val="TableBullet"/>
            </w:pPr>
            <w:r w:rsidRPr="00756690">
              <w:t>Resource tracking system</w:t>
            </w:r>
          </w:p>
          <w:p w14:paraId="4C0D8F7F" w14:textId="77777777" w:rsidR="000E6E1B" w:rsidRPr="00756690" w:rsidRDefault="000E6E1B" w:rsidP="007F061C">
            <w:pPr>
              <w:pStyle w:val="TableBullet"/>
            </w:pPr>
            <w:r w:rsidRPr="00756690">
              <w:t>Catering – may need similar outputs for catering</w:t>
            </w:r>
          </w:p>
        </w:tc>
        <w:tc>
          <w:tcPr>
            <w:tcW w:w="2340" w:type="dxa"/>
            <w:tcBorders>
              <w:top w:val="single" w:sz="4" w:space="0" w:color="auto"/>
              <w:bottom w:val="single" w:sz="4" w:space="0" w:color="auto"/>
            </w:tcBorders>
            <w:shd w:val="clear" w:color="auto" w:fill="auto"/>
          </w:tcPr>
          <w:p w14:paraId="3E033AD6" w14:textId="77777777" w:rsidR="002368E0" w:rsidRPr="00756690" w:rsidRDefault="000E6E1B" w:rsidP="007F061C">
            <w:pPr>
              <w:pStyle w:val="TableBullet"/>
            </w:pPr>
            <w:r w:rsidRPr="00756690">
              <w:t>Personnel are accommodated</w:t>
            </w:r>
          </w:p>
          <w:p w14:paraId="1C4B4226" w14:textId="6EAEABD7" w:rsidR="000E6E1B" w:rsidRPr="00756690" w:rsidRDefault="000E6E1B" w:rsidP="007F061C">
            <w:pPr>
              <w:pStyle w:val="TableBullet"/>
            </w:pPr>
            <w:r w:rsidRPr="00756690">
              <w:t>Costs for accommodation</w:t>
            </w:r>
            <w:r w:rsidR="00764D3F" w:rsidRPr="00756690">
              <w:t xml:space="preserve"> are known</w:t>
            </w:r>
          </w:p>
        </w:tc>
        <w:tc>
          <w:tcPr>
            <w:tcW w:w="1821" w:type="dxa"/>
            <w:tcBorders>
              <w:top w:val="single" w:sz="4" w:space="0" w:color="auto"/>
              <w:bottom w:val="single" w:sz="4" w:space="0" w:color="auto"/>
            </w:tcBorders>
            <w:shd w:val="clear" w:color="auto" w:fill="auto"/>
          </w:tcPr>
          <w:p w14:paraId="5E7A33F4" w14:textId="455ED5AD" w:rsidR="000E6E1B" w:rsidRPr="00756690" w:rsidRDefault="000E6E1B" w:rsidP="00756690">
            <w:pPr>
              <w:pStyle w:val="TableText0"/>
            </w:pPr>
            <w:r w:rsidRPr="00756690">
              <w:t>Accommodation Officer</w:t>
            </w:r>
          </w:p>
          <w:p w14:paraId="32D9C4B5" w14:textId="5320F58B" w:rsidR="00473367" w:rsidRPr="00756690" w:rsidRDefault="00473367" w:rsidP="00756690">
            <w:pPr>
              <w:pStyle w:val="TableText0"/>
            </w:pPr>
            <w:r w:rsidRPr="00756690">
              <w:t>Logistics</w:t>
            </w:r>
          </w:p>
        </w:tc>
      </w:tr>
      <w:tr w:rsidR="000E6E1B" w:rsidRPr="00756690" w14:paraId="77F6F808" w14:textId="77777777" w:rsidTr="00722234">
        <w:trPr>
          <w:cantSplit/>
        </w:trPr>
        <w:tc>
          <w:tcPr>
            <w:tcW w:w="1885" w:type="dxa"/>
            <w:tcBorders>
              <w:top w:val="single" w:sz="4" w:space="0" w:color="auto"/>
              <w:bottom w:val="single" w:sz="4" w:space="0" w:color="auto"/>
            </w:tcBorders>
            <w:shd w:val="clear" w:color="auto" w:fill="auto"/>
          </w:tcPr>
          <w:p w14:paraId="625ED5C3" w14:textId="30B21B34" w:rsidR="000E6E1B" w:rsidRPr="00756690" w:rsidRDefault="000E6E1B" w:rsidP="00756690">
            <w:pPr>
              <w:pStyle w:val="TableText0"/>
            </w:pPr>
            <w:r w:rsidRPr="00756690">
              <w:t>Asset/</w:t>
            </w:r>
            <w:r w:rsidR="002B7313" w:rsidRPr="00756690">
              <w:t>r</w:t>
            </w:r>
            <w:r w:rsidRPr="00756690">
              <w:t>esource/</w:t>
            </w:r>
            <w:r w:rsidR="007F061C">
              <w:br/>
            </w:r>
            <w:r w:rsidR="002B7313" w:rsidRPr="00756690">
              <w:t>s</w:t>
            </w:r>
            <w:r w:rsidRPr="00756690">
              <w:t>tores</w:t>
            </w:r>
            <w:r w:rsidR="006D66D3" w:rsidRPr="00756690">
              <w:t xml:space="preserve"> </w:t>
            </w:r>
            <w:r w:rsidR="00B6438E" w:rsidRPr="00756690">
              <w:t>m</w:t>
            </w:r>
            <w:r w:rsidR="002B7313" w:rsidRPr="00756690">
              <w:t>ana</w:t>
            </w:r>
            <w:r w:rsidRPr="00756690">
              <w:t>g</w:t>
            </w:r>
            <w:r w:rsidR="002B7313" w:rsidRPr="00756690">
              <w:t>emen</w:t>
            </w:r>
            <w:r w:rsidRPr="00756690">
              <w:t>t</w:t>
            </w:r>
          </w:p>
        </w:tc>
        <w:tc>
          <w:tcPr>
            <w:tcW w:w="2970" w:type="dxa"/>
            <w:tcBorders>
              <w:top w:val="single" w:sz="4" w:space="0" w:color="auto"/>
              <w:bottom w:val="single" w:sz="4" w:space="0" w:color="auto"/>
            </w:tcBorders>
            <w:shd w:val="clear" w:color="auto" w:fill="auto"/>
          </w:tcPr>
          <w:p w14:paraId="6316A8C7" w14:textId="5EF7D36D" w:rsidR="000E6E1B" w:rsidRPr="00756690" w:rsidRDefault="000E6E1B" w:rsidP="007F061C">
            <w:pPr>
              <w:pStyle w:val="TableBullet"/>
            </w:pPr>
            <w:r w:rsidRPr="00756690">
              <w:t>Asset list</w:t>
            </w:r>
            <w:r w:rsidR="007F061C">
              <w:t xml:space="preserve">, </w:t>
            </w:r>
            <w:r w:rsidRPr="00756690">
              <w:t>includ</w:t>
            </w:r>
            <w:r w:rsidR="007F061C">
              <w:t>ing</w:t>
            </w:r>
            <w:r w:rsidRPr="00756690">
              <w:t xml:space="preserve"> providers</w:t>
            </w:r>
          </w:p>
          <w:p w14:paraId="7755C404" w14:textId="77777777" w:rsidR="000E6E1B" w:rsidRPr="00756690" w:rsidRDefault="000E6E1B" w:rsidP="007F061C">
            <w:pPr>
              <w:pStyle w:val="TableBullet"/>
            </w:pPr>
            <w:r w:rsidRPr="00756690">
              <w:t>Audit report</w:t>
            </w:r>
          </w:p>
          <w:p w14:paraId="304DB29C" w14:textId="77777777" w:rsidR="000E6E1B" w:rsidRPr="00756690" w:rsidRDefault="000E6E1B" w:rsidP="007F061C">
            <w:pPr>
              <w:pStyle w:val="TableBullet"/>
            </w:pPr>
            <w:r w:rsidRPr="00756690">
              <w:t>Resource tracking system</w:t>
            </w:r>
          </w:p>
          <w:p w14:paraId="2FC9C68A" w14:textId="77777777" w:rsidR="000E6E1B" w:rsidRPr="00756690" w:rsidRDefault="000E6E1B" w:rsidP="007F061C">
            <w:pPr>
              <w:pStyle w:val="TableBullet"/>
            </w:pPr>
            <w:r w:rsidRPr="00756690">
              <w:t>Store inventory</w:t>
            </w:r>
          </w:p>
          <w:p w14:paraId="27C53A77" w14:textId="00905931" w:rsidR="000E6E1B" w:rsidRPr="00756690" w:rsidRDefault="000E6E1B" w:rsidP="007F061C">
            <w:pPr>
              <w:pStyle w:val="TableBullet"/>
            </w:pPr>
            <w:r w:rsidRPr="00756690">
              <w:t>Resource</w:t>
            </w:r>
            <w:r w:rsidR="007F061C">
              <w:t>-</w:t>
            </w:r>
            <w:r w:rsidRPr="00756690">
              <w:t xml:space="preserve">specific system </w:t>
            </w:r>
            <w:r w:rsidR="007F061C">
              <w:t>(</w:t>
            </w:r>
            <w:r w:rsidRPr="00756690">
              <w:t>eg</w:t>
            </w:r>
            <w:r w:rsidR="007F061C">
              <w:t> </w:t>
            </w:r>
            <w:r w:rsidRPr="00756690">
              <w:t>keys</w:t>
            </w:r>
            <w:r w:rsidR="007F061C">
              <w:t>)</w:t>
            </w:r>
          </w:p>
        </w:tc>
        <w:tc>
          <w:tcPr>
            <w:tcW w:w="2340" w:type="dxa"/>
            <w:tcBorders>
              <w:top w:val="single" w:sz="4" w:space="0" w:color="auto"/>
              <w:bottom w:val="single" w:sz="4" w:space="0" w:color="auto"/>
            </w:tcBorders>
            <w:shd w:val="clear" w:color="auto" w:fill="auto"/>
          </w:tcPr>
          <w:p w14:paraId="5460B920" w14:textId="77777777" w:rsidR="000E6E1B" w:rsidRPr="00756690" w:rsidRDefault="000E6E1B" w:rsidP="007F061C">
            <w:pPr>
              <w:pStyle w:val="TableBullet"/>
            </w:pPr>
            <w:r w:rsidRPr="00756690">
              <w:t>Assets are tracked and managed</w:t>
            </w:r>
          </w:p>
          <w:p w14:paraId="1DAAEEEC" w14:textId="3CBA6CA4" w:rsidR="000E6E1B" w:rsidRPr="00756690" w:rsidRDefault="000E6E1B" w:rsidP="007F061C">
            <w:pPr>
              <w:pStyle w:val="TableBullet"/>
            </w:pPr>
            <w:r w:rsidRPr="00756690">
              <w:t>Inventory control</w:t>
            </w:r>
            <w:r w:rsidR="002B7313" w:rsidRPr="00756690">
              <w:t xml:space="preserve"> </w:t>
            </w:r>
            <w:r w:rsidR="007F061C">
              <w:t>and</w:t>
            </w:r>
            <w:r w:rsidR="002B7313" w:rsidRPr="00756690">
              <w:t xml:space="preserve"> </w:t>
            </w:r>
            <w:r w:rsidRPr="00756690">
              <w:t>management</w:t>
            </w:r>
          </w:p>
          <w:p w14:paraId="419C9599" w14:textId="77777777" w:rsidR="000E6E1B" w:rsidRPr="00756690" w:rsidRDefault="000E6E1B" w:rsidP="007F061C">
            <w:pPr>
              <w:pStyle w:val="TableBullet"/>
            </w:pPr>
            <w:r w:rsidRPr="00756690">
              <w:t>Asset disposal</w:t>
            </w:r>
          </w:p>
          <w:p w14:paraId="2F23DB76" w14:textId="77777777" w:rsidR="000E6E1B" w:rsidRPr="00756690" w:rsidRDefault="000E6E1B" w:rsidP="007F061C">
            <w:pPr>
              <w:pStyle w:val="TableBullet"/>
            </w:pPr>
            <w:r w:rsidRPr="00756690">
              <w:t>Best use of resources</w:t>
            </w:r>
          </w:p>
          <w:p w14:paraId="0DA6FF48" w14:textId="77777777" w:rsidR="000E6E1B" w:rsidRPr="00756690" w:rsidRDefault="000E6E1B" w:rsidP="007F061C">
            <w:pPr>
              <w:pStyle w:val="TableBullet"/>
            </w:pPr>
            <w:r w:rsidRPr="00756690">
              <w:t>Expenditure on assets</w:t>
            </w:r>
          </w:p>
        </w:tc>
        <w:tc>
          <w:tcPr>
            <w:tcW w:w="1821" w:type="dxa"/>
            <w:tcBorders>
              <w:top w:val="single" w:sz="4" w:space="0" w:color="auto"/>
              <w:bottom w:val="single" w:sz="4" w:space="0" w:color="auto"/>
            </w:tcBorders>
            <w:shd w:val="clear" w:color="auto" w:fill="auto"/>
          </w:tcPr>
          <w:p w14:paraId="5AA36B25" w14:textId="335992D2" w:rsidR="000E6E1B" w:rsidRPr="00756690" w:rsidRDefault="000E6E1B" w:rsidP="00756690">
            <w:pPr>
              <w:pStyle w:val="TableText0"/>
            </w:pPr>
            <w:r w:rsidRPr="00756690">
              <w:t xml:space="preserve">Logistics </w:t>
            </w:r>
            <w:r w:rsidR="00F62AAA">
              <w:t>s</w:t>
            </w:r>
            <w:r w:rsidRPr="00756690">
              <w:t>tores/assets</w:t>
            </w:r>
          </w:p>
          <w:p w14:paraId="35E6F2A2" w14:textId="6FEED71E" w:rsidR="00473367" w:rsidRPr="00756690" w:rsidRDefault="00473367" w:rsidP="00864872">
            <w:pPr>
              <w:pStyle w:val="TableText0"/>
            </w:pPr>
            <w:r w:rsidRPr="00756690">
              <w:t>Logistics and/or</w:t>
            </w:r>
            <w:r w:rsidR="00864872">
              <w:t xml:space="preserve"> </w:t>
            </w:r>
            <w:r w:rsidRPr="00756690">
              <w:t>Operations</w:t>
            </w:r>
          </w:p>
        </w:tc>
      </w:tr>
      <w:tr w:rsidR="000E6E1B" w:rsidRPr="00756690" w14:paraId="09B99A3D" w14:textId="77777777" w:rsidTr="00722234">
        <w:trPr>
          <w:cantSplit/>
        </w:trPr>
        <w:tc>
          <w:tcPr>
            <w:tcW w:w="1885" w:type="dxa"/>
            <w:tcBorders>
              <w:top w:val="single" w:sz="4" w:space="0" w:color="auto"/>
              <w:bottom w:val="single" w:sz="4" w:space="0" w:color="auto"/>
            </w:tcBorders>
            <w:shd w:val="clear" w:color="auto" w:fill="auto"/>
          </w:tcPr>
          <w:p w14:paraId="1642A026" w14:textId="38BF7DA1" w:rsidR="000E6E1B" w:rsidRPr="00756690" w:rsidRDefault="000E6E1B" w:rsidP="00756690">
            <w:pPr>
              <w:pStyle w:val="TableText0"/>
            </w:pPr>
            <w:r w:rsidRPr="00756690">
              <w:t> Audit and review</w:t>
            </w:r>
          </w:p>
        </w:tc>
        <w:tc>
          <w:tcPr>
            <w:tcW w:w="2970" w:type="dxa"/>
            <w:tcBorders>
              <w:top w:val="single" w:sz="4" w:space="0" w:color="auto"/>
              <w:bottom w:val="single" w:sz="4" w:space="0" w:color="auto"/>
            </w:tcBorders>
            <w:shd w:val="clear" w:color="auto" w:fill="auto"/>
          </w:tcPr>
          <w:p w14:paraId="15069671" w14:textId="25435A56" w:rsidR="000E6E1B" w:rsidRPr="00756690" w:rsidRDefault="000E6E1B" w:rsidP="007F061C">
            <w:pPr>
              <w:pStyle w:val="TableBullet"/>
            </w:pPr>
            <w:r w:rsidRPr="00756690">
              <w:t>Policy</w:t>
            </w:r>
          </w:p>
          <w:p w14:paraId="38C62F37" w14:textId="77777777" w:rsidR="000E6E1B" w:rsidRPr="00756690" w:rsidRDefault="000E6E1B" w:rsidP="007F061C">
            <w:pPr>
              <w:pStyle w:val="TableBullet"/>
            </w:pPr>
            <w:r w:rsidRPr="00756690">
              <w:t>Procedure</w:t>
            </w:r>
          </w:p>
          <w:p w14:paraId="260E135E" w14:textId="77777777" w:rsidR="000E6E1B" w:rsidRPr="00756690" w:rsidRDefault="000E6E1B" w:rsidP="007F061C">
            <w:pPr>
              <w:pStyle w:val="TableBullet"/>
            </w:pPr>
            <w:r w:rsidRPr="00756690">
              <w:t>Timetable for audit and review</w:t>
            </w:r>
          </w:p>
          <w:p w14:paraId="0509D472" w14:textId="23ED6EB5" w:rsidR="000E6E1B" w:rsidRPr="00756690" w:rsidRDefault="000E6E1B" w:rsidP="007F061C">
            <w:pPr>
              <w:pStyle w:val="TableBullet"/>
            </w:pPr>
            <w:r w:rsidRPr="00756690">
              <w:t xml:space="preserve">Reports </w:t>
            </w:r>
            <w:r w:rsidR="007F061C">
              <w:t>–</w:t>
            </w:r>
            <w:r w:rsidRPr="00756690">
              <w:t xml:space="preserve"> monitoring and review</w:t>
            </w:r>
          </w:p>
          <w:p w14:paraId="6527BDFA" w14:textId="77777777" w:rsidR="000E6E1B" w:rsidRPr="00756690" w:rsidRDefault="000E6E1B" w:rsidP="007F061C">
            <w:pPr>
              <w:pStyle w:val="TableBullet"/>
            </w:pPr>
            <w:r w:rsidRPr="00756690">
              <w:t>Checklists</w:t>
            </w:r>
          </w:p>
          <w:p w14:paraId="40B0123C" w14:textId="77777777" w:rsidR="000E6E1B" w:rsidRPr="00756690" w:rsidRDefault="000E6E1B" w:rsidP="007F061C">
            <w:pPr>
              <w:pStyle w:val="TableBullet"/>
            </w:pPr>
            <w:r w:rsidRPr="00756690">
              <w:t>Corrective action register</w:t>
            </w:r>
          </w:p>
        </w:tc>
        <w:tc>
          <w:tcPr>
            <w:tcW w:w="2340" w:type="dxa"/>
            <w:tcBorders>
              <w:top w:val="single" w:sz="4" w:space="0" w:color="auto"/>
              <w:bottom w:val="single" w:sz="4" w:space="0" w:color="auto"/>
            </w:tcBorders>
            <w:shd w:val="clear" w:color="auto" w:fill="auto"/>
          </w:tcPr>
          <w:p w14:paraId="3DB86FA6" w14:textId="66BCEAF2" w:rsidR="000E6E1B" w:rsidRPr="00756690" w:rsidRDefault="000E6E1B" w:rsidP="007F061C">
            <w:pPr>
              <w:pStyle w:val="TableBullet"/>
            </w:pPr>
            <w:r w:rsidRPr="00756690">
              <w:t>Compliance with policies and procedures</w:t>
            </w:r>
          </w:p>
          <w:p w14:paraId="67A003B3" w14:textId="77777777" w:rsidR="000E6E1B" w:rsidRPr="0045090A" w:rsidRDefault="000E6E1B" w:rsidP="007F061C">
            <w:pPr>
              <w:pStyle w:val="TableBullet"/>
            </w:pPr>
            <w:r w:rsidRPr="00756690">
              <w:t>Goo</w:t>
            </w:r>
            <w:r w:rsidRPr="0045090A">
              <w:t>d SSA</w:t>
            </w:r>
          </w:p>
          <w:p w14:paraId="00BAE66A" w14:textId="77777777" w:rsidR="000E6E1B" w:rsidRPr="0045090A" w:rsidRDefault="000E6E1B" w:rsidP="007F061C">
            <w:pPr>
              <w:pStyle w:val="TableBullet"/>
            </w:pPr>
            <w:r w:rsidRPr="0045090A">
              <w:t>WHS</w:t>
            </w:r>
          </w:p>
          <w:p w14:paraId="1D2611B4" w14:textId="77777777" w:rsidR="000E6E1B" w:rsidRPr="00756690" w:rsidRDefault="000E6E1B" w:rsidP="007F061C">
            <w:pPr>
              <w:pStyle w:val="TableBullet"/>
            </w:pPr>
            <w:r w:rsidRPr="00756690">
              <w:t>Budget met</w:t>
            </w:r>
          </w:p>
        </w:tc>
        <w:tc>
          <w:tcPr>
            <w:tcW w:w="1821" w:type="dxa"/>
            <w:tcBorders>
              <w:top w:val="single" w:sz="4" w:space="0" w:color="auto"/>
              <w:bottom w:val="single" w:sz="4" w:space="0" w:color="auto"/>
            </w:tcBorders>
            <w:shd w:val="clear" w:color="auto" w:fill="auto"/>
          </w:tcPr>
          <w:p w14:paraId="0B3EF7EB" w14:textId="788E33E8" w:rsidR="000E6E1B" w:rsidRPr="00756690" w:rsidRDefault="000E6E1B" w:rsidP="00756690">
            <w:pPr>
              <w:pStyle w:val="TableText0"/>
            </w:pPr>
            <w:r w:rsidRPr="00756690">
              <w:t>I</w:t>
            </w:r>
            <w:r w:rsidR="0044041A" w:rsidRPr="00756690">
              <w:t xml:space="preserve">ncident </w:t>
            </w:r>
            <w:r w:rsidRPr="00756690">
              <w:t>M</w:t>
            </w:r>
            <w:r w:rsidR="0044041A" w:rsidRPr="00756690">
              <w:t xml:space="preserve">anagement </w:t>
            </w:r>
            <w:r w:rsidRPr="00756690">
              <w:t>T</w:t>
            </w:r>
            <w:r w:rsidR="0044041A" w:rsidRPr="00756690">
              <w:t>eam</w:t>
            </w:r>
            <w:r w:rsidRPr="00756690">
              <w:t xml:space="preserve"> allocated roles</w:t>
            </w:r>
          </w:p>
        </w:tc>
      </w:tr>
      <w:tr w:rsidR="000E6E1B" w:rsidRPr="00756690" w14:paraId="28585873" w14:textId="77777777" w:rsidTr="00722234">
        <w:trPr>
          <w:cantSplit/>
        </w:trPr>
        <w:tc>
          <w:tcPr>
            <w:tcW w:w="1885" w:type="dxa"/>
            <w:tcBorders>
              <w:top w:val="single" w:sz="4" w:space="0" w:color="auto"/>
              <w:bottom w:val="single" w:sz="4" w:space="0" w:color="auto"/>
            </w:tcBorders>
            <w:shd w:val="clear" w:color="auto" w:fill="auto"/>
          </w:tcPr>
          <w:p w14:paraId="3D4DDC33" w14:textId="026A3E00" w:rsidR="000E6E1B" w:rsidRPr="00756690" w:rsidRDefault="000E6E1B" w:rsidP="00756690">
            <w:pPr>
              <w:pStyle w:val="TableText0"/>
            </w:pPr>
            <w:r w:rsidRPr="00756690">
              <w:t>Case m</w:t>
            </w:r>
            <w:r w:rsidR="002B7313" w:rsidRPr="00756690">
              <w:t>ana</w:t>
            </w:r>
            <w:r w:rsidRPr="00756690">
              <w:t>g</w:t>
            </w:r>
            <w:r w:rsidR="002B7313" w:rsidRPr="00756690">
              <w:t>emen</w:t>
            </w:r>
            <w:r w:rsidRPr="00756690">
              <w:t>t system</w:t>
            </w:r>
          </w:p>
        </w:tc>
        <w:tc>
          <w:tcPr>
            <w:tcW w:w="2970" w:type="dxa"/>
            <w:tcBorders>
              <w:top w:val="single" w:sz="4" w:space="0" w:color="auto"/>
              <w:bottom w:val="single" w:sz="4" w:space="0" w:color="auto"/>
            </w:tcBorders>
            <w:shd w:val="clear" w:color="auto" w:fill="auto"/>
          </w:tcPr>
          <w:p w14:paraId="6F057168" w14:textId="40D93D13" w:rsidR="000E6E1B" w:rsidRPr="00756690" w:rsidRDefault="000E6E1B" w:rsidP="007F061C">
            <w:pPr>
              <w:pStyle w:val="TableBullet"/>
            </w:pPr>
            <w:r w:rsidRPr="00756690">
              <w:t>All files for each case</w:t>
            </w:r>
          </w:p>
          <w:p w14:paraId="3EDC9DAA" w14:textId="77777777" w:rsidR="000E6E1B" w:rsidRPr="00756690" w:rsidRDefault="000E6E1B" w:rsidP="007F061C">
            <w:pPr>
              <w:pStyle w:val="TableBullet"/>
            </w:pPr>
            <w:r w:rsidRPr="00756690">
              <w:t>Case file (electronic and paper)</w:t>
            </w:r>
          </w:p>
          <w:p w14:paraId="30995867" w14:textId="08A22D04" w:rsidR="000E6E1B" w:rsidRPr="00756690" w:rsidRDefault="000E6E1B" w:rsidP="007F061C">
            <w:pPr>
              <w:pStyle w:val="TableBullet"/>
            </w:pPr>
            <w:r w:rsidRPr="00756690">
              <w:t>Database to collate information on cases (not Excel s</w:t>
            </w:r>
            <w:r w:rsidR="002B7313" w:rsidRPr="00756690">
              <w:t>pread</w:t>
            </w:r>
            <w:r w:rsidRPr="00756690">
              <w:t>sheet)</w:t>
            </w:r>
          </w:p>
          <w:p w14:paraId="05E13280" w14:textId="1ACC6834" w:rsidR="000E6E1B" w:rsidRPr="00756690" w:rsidRDefault="000E6E1B" w:rsidP="007F061C">
            <w:pPr>
              <w:pStyle w:val="TableBullet"/>
            </w:pPr>
            <w:r w:rsidRPr="00756690">
              <w:t>Reports (up 18 st</w:t>
            </w:r>
            <w:r w:rsidR="002B7313" w:rsidRPr="00756690">
              <w:t>an</w:t>
            </w:r>
            <w:r w:rsidRPr="00756690">
              <w:t>d</w:t>
            </w:r>
            <w:r w:rsidR="002B7313" w:rsidRPr="00756690">
              <w:t>ard</w:t>
            </w:r>
            <w:r w:rsidRPr="00756690">
              <w:t xml:space="preserve"> reports)</w:t>
            </w:r>
          </w:p>
        </w:tc>
        <w:tc>
          <w:tcPr>
            <w:tcW w:w="2340" w:type="dxa"/>
            <w:tcBorders>
              <w:top w:val="single" w:sz="4" w:space="0" w:color="auto"/>
              <w:bottom w:val="single" w:sz="4" w:space="0" w:color="auto"/>
            </w:tcBorders>
            <w:shd w:val="clear" w:color="auto" w:fill="auto"/>
          </w:tcPr>
          <w:p w14:paraId="2B5B0C21" w14:textId="7F487CB4" w:rsidR="000E6E1B" w:rsidRPr="00756690" w:rsidRDefault="000E6E1B" w:rsidP="00635DA4">
            <w:pPr>
              <w:pStyle w:val="TableBullet"/>
            </w:pPr>
            <w:r w:rsidRPr="00756690">
              <w:t xml:space="preserve">Response knows what it </w:t>
            </w:r>
            <w:r w:rsidR="009413BE">
              <w:t xml:space="preserve">should </w:t>
            </w:r>
            <w:r w:rsidRPr="00756690">
              <w:t>know</w:t>
            </w:r>
          </w:p>
          <w:p w14:paraId="5EED073B" w14:textId="77777777" w:rsidR="000E6E1B" w:rsidRPr="00756690" w:rsidRDefault="000E6E1B" w:rsidP="00635DA4">
            <w:pPr>
              <w:pStyle w:val="TableBullet"/>
            </w:pPr>
            <w:r w:rsidRPr="00756690">
              <w:t>SSA</w:t>
            </w:r>
          </w:p>
          <w:p w14:paraId="463B59F2" w14:textId="77777777" w:rsidR="000E6E1B" w:rsidRPr="00756690" w:rsidRDefault="000E6E1B" w:rsidP="00635DA4">
            <w:pPr>
              <w:pStyle w:val="TableBullet"/>
            </w:pPr>
            <w:r w:rsidRPr="00756690">
              <w:t>Decision making is informed and timely</w:t>
            </w:r>
          </w:p>
          <w:p w14:paraId="6DF667E3" w14:textId="77777777" w:rsidR="000E6E1B" w:rsidRPr="00756690" w:rsidRDefault="000E6E1B" w:rsidP="00635DA4">
            <w:pPr>
              <w:pStyle w:val="TableBullet"/>
            </w:pPr>
            <w:r w:rsidRPr="00756690">
              <w:t>Stakeholder engagement is timely and relevant</w:t>
            </w:r>
          </w:p>
          <w:p w14:paraId="20FC5A8A" w14:textId="20E6A61F" w:rsidR="000E6E1B" w:rsidRPr="00756690" w:rsidRDefault="000E6E1B" w:rsidP="00635DA4">
            <w:pPr>
              <w:pStyle w:val="TableBullet"/>
            </w:pPr>
            <w:r w:rsidRPr="00756690">
              <w:t xml:space="preserve">Legal risk </w:t>
            </w:r>
            <w:r w:rsidR="00917CB6" w:rsidRPr="00756690">
              <w:t>management</w:t>
            </w:r>
          </w:p>
        </w:tc>
        <w:tc>
          <w:tcPr>
            <w:tcW w:w="1821" w:type="dxa"/>
            <w:tcBorders>
              <w:top w:val="single" w:sz="4" w:space="0" w:color="auto"/>
              <w:bottom w:val="single" w:sz="4" w:space="0" w:color="auto"/>
            </w:tcBorders>
            <w:shd w:val="clear" w:color="auto" w:fill="auto"/>
          </w:tcPr>
          <w:p w14:paraId="4880B3D7" w14:textId="1AE512DC" w:rsidR="000E6E1B" w:rsidRPr="00756690" w:rsidRDefault="000E6E1B" w:rsidP="00756690">
            <w:pPr>
              <w:pStyle w:val="TableText0"/>
            </w:pPr>
            <w:r w:rsidRPr="00756690">
              <w:t>Case Files Officer</w:t>
            </w:r>
          </w:p>
          <w:p w14:paraId="47503785" w14:textId="7B3D5A56" w:rsidR="00473367" w:rsidRPr="00756690" w:rsidRDefault="00473367" w:rsidP="00756690">
            <w:pPr>
              <w:pStyle w:val="TableText0"/>
            </w:pPr>
            <w:r w:rsidRPr="00756690">
              <w:t xml:space="preserve">Operations </w:t>
            </w:r>
          </w:p>
          <w:p w14:paraId="7F9CD6ED" w14:textId="7BBF9225" w:rsidR="000E6E1B" w:rsidRPr="00756690" w:rsidRDefault="00473367" w:rsidP="00756690">
            <w:pPr>
              <w:pStyle w:val="TableText0"/>
            </w:pPr>
            <w:r w:rsidRPr="00756690">
              <w:t>Information Officer</w:t>
            </w:r>
          </w:p>
          <w:p w14:paraId="0C8012A7" w14:textId="62672BF5" w:rsidR="00473367" w:rsidRPr="00756690" w:rsidRDefault="00473367" w:rsidP="00756690">
            <w:pPr>
              <w:pStyle w:val="TableText0"/>
            </w:pPr>
            <w:r w:rsidRPr="00756690">
              <w:t>Planning</w:t>
            </w:r>
          </w:p>
        </w:tc>
      </w:tr>
      <w:tr w:rsidR="000E6E1B" w:rsidRPr="00756690" w14:paraId="752F815C" w14:textId="77777777" w:rsidTr="00722234">
        <w:trPr>
          <w:cantSplit/>
          <w:trHeight w:val="2006"/>
        </w:trPr>
        <w:tc>
          <w:tcPr>
            <w:tcW w:w="1885" w:type="dxa"/>
            <w:tcBorders>
              <w:top w:val="single" w:sz="4" w:space="0" w:color="auto"/>
              <w:bottom w:val="single" w:sz="4" w:space="0" w:color="auto"/>
            </w:tcBorders>
            <w:shd w:val="clear" w:color="auto" w:fill="auto"/>
          </w:tcPr>
          <w:p w14:paraId="7A96774B" w14:textId="6BDE5FDD" w:rsidR="000E6E1B" w:rsidRPr="00756690" w:rsidRDefault="000E6E1B" w:rsidP="00756690">
            <w:pPr>
              <w:pStyle w:val="TableText0"/>
            </w:pPr>
            <w:r w:rsidRPr="00756690">
              <w:t>Client m</w:t>
            </w:r>
            <w:r w:rsidR="00AC022D" w:rsidRPr="00756690">
              <w:t>ana</w:t>
            </w:r>
            <w:r w:rsidRPr="00756690">
              <w:t>g</w:t>
            </w:r>
            <w:r w:rsidR="00AC022D" w:rsidRPr="00756690">
              <w:t>emen</w:t>
            </w:r>
            <w:r w:rsidRPr="00756690">
              <w:t>t system</w:t>
            </w:r>
            <w:r w:rsidR="009413BE">
              <w:t>,</w:t>
            </w:r>
            <w:r w:rsidRPr="00756690">
              <w:t xml:space="preserve"> incl</w:t>
            </w:r>
            <w:r w:rsidR="00AC022D" w:rsidRPr="00756690">
              <w:t>uding</w:t>
            </w:r>
            <w:r w:rsidRPr="00756690">
              <w:t xml:space="preserve"> call centre</w:t>
            </w:r>
          </w:p>
        </w:tc>
        <w:tc>
          <w:tcPr>
            <w:tcW w:w="2970" w:type="dxa"/>
            <w:tcBorders>
              <w:top w:val="single" w:sz="4" w:space="0" w:color="auto"/>
              <w:bottom w:val="single" w:sz="4" w:space="0" w:color="auto"/>
            </w:tcBorders>
            <w:shd w:val="clear" w:color="auto" w:fill="auto"/>
          </w:tcPr>
          <w:p w14:paraId="796B5F45" w14:textId="4D108B75" w:rsidR="000E6E1B" w:rsidRPr="00756690" w:rsidRDefault="000E6E1B" w:rsidP="009413BE">
            <w:pPr>
              <w:pStyle w:val="TableBullet"/>
            </w:pPr>
            <w:r w:rsidRPr="00756690">
              <w:t>All files for each contact with each case</w:t>
            </w:r>
          </w:p>
          <w:p w14:paraId="2732D0FB" w14:textId="77777777" w:rsidR="000E6E1B" w:rsidRPr="00756690" w:rsidRDefault="000E6E1B" w:rsidP="009413BE">
            <w:pPr>
              <w:pStyle w:val="TableBullet"/>
            </w:pPr>
            <w:r w:rsidRPr="00756690">
              <w:t>Case files (electronic and paper)</w:t>
            </w:r>
          </w:p>
          <w:p w14:paraId="6387EAD9" w14:textId="6784E508" w:rsidR="000E6E1B" w:rsidRPr="00756690" w:rsidRDefault="000E6E1B" w:rsidP="009413BE">
            <w:pPr>
              <w:pStyle w:val="TableBullet"/>
            </w:pPr>
            <w:r w:rsidRPr="00756690">
              <w:t>Database to collate information on cases (not Excel s</w:t>
            </w:r>
            <w:r w:rsidR="00E90860" w:rsidRPr="00756690">
              <w:t>pread</w:t>
            </w:r>
            <w:r w:rsidRPr="00756690">
              <w:t>sheet)</w:t>
            </w:r>
          </w:p>
          <w:p w14:paraId="7049737A" w14:textId="77777777" w:rsidR="000E6E1B" w:rsidRPr="00756690" w:rsidRDefault="000E6E1B" w:rsidP="009413BE">
            <w:pPr>
              <w:pStyle w:val="TableBullet"/>
            </w:pPr>
            <w:r w:rsidRPr="00756690">
              <w:t>Reports</w:t>
            </w:r>
          </w:p>
          <w:p w14:paraId="472E428D" w14:textId="5BC5168A" w:rsidR="000E6E1B" w:rsidRPr="00756690" w:rsidRDefault="000E6E1B" w:rsidP="009413BE">
            <w:pPr>
              <w:pStyle w:val="TableBullet"/>
            </w:pPr>
            <w:r w:rsidRPr="0045090A">
              <w:t xml:space="preserve">Q and A </w:t>
            </w:r>
            <w:r w:rsidR="00762A8B">
              <w:t xml:space="preserve">(typical questions and answers) </w:t>
            </w:r>
            <w:r w:rsidRPr="0045090A">
              <w:t>for</w:t>
            </w:r>
            <w:r w:rsidRPr="00756690">
              <w:t xml:space="preserve"> operators</w:t>
            </w:r>
          </w:p>
        </w:tc>
        <w:tc>
          <w:tcPr>
            <w:tcW w:w="2340" w:type="dxa"/>
            <w:tcBorders>
              <w:top w:val="single" w:sz="4" w:space="0" w:color="auto"/>
              <w:bottom w:val="single" w:sz="4" w:space="0" w:color="auto"/>
            </w:tcBorders>
            <w:shd w:val="clear" w:color="auto" w:fill="auto"/>
          </w:tcPr>
          <w:p w14:paraId="54BC01B9" w14:textId="70535951" w:rsidR="000E6E1B" w:rsidRPr="00756690" w:rsidRDefault="000E6E1B" w:rsidP="009413BE">
            <w:pPr>
              <w:pStyle w:val="TableBullet"/>
            </w:pPr>
            <w:r w:rsidRPr="00756690">
              <w:t xml:space="preserve">Response knows what it </w:t>
            </w:r>
            <w:r w:rsidR="009413BE">
              <w:t xml:space="preserve">should </w:t>
            </w:r>
            <w:r w:rsidRPr="00756690">
              <w:t>know</w:t>
            </w:r>
          </w:p>
          <w:p w14:paraId="4B9B02A1" w14:textId="77777777" w:rsidR="000E6E1B" w:rsidRPr="00756690" w:rsidRDefault="000E6E1B" w:rsidP="009413BE">
            <w:pPr>
              <w:pStyle w:val="TableBullet"/>
            </w:pPr>
            <w:r w:rsidRPr="00756690">
              <w:t>SSA</w:t>
            </w:r>
          </w:p>
          <w:p w14:paraId="14C0ADF6" w14:textId="77777777" w:rsidR="000E6E1B" w:rsidRPr="00756690" w:rsidRDefault="000E6E1B" w:rsidP="009413BE">
            <w:pPr>
              <w:pStyle w:val="TableBullet"/>
            </w:pPr>
            <w:r w:rsidRPr="00756690">
              <w:t>Decision making is informed and timely</w:t>
            </w:r>
          </w:p>
          <w:p w14:paraId="3EDE772E" w14:textId="77777777" w:rsidR="000E6E1B" w:rsidRPr="00756690" w:rsidRDefault="000E6E1B" w:rsidP="009413BE">
            <w:pPr>
              <w:pStyle w:val="TableBullet"/>
            </w:pPr>
            <w:r w:rsidRPr="00756690">
              <w:t>Stakeholder engagement is timely and relevant</w:t>
            </w:r>
          </w:p>
          <w:p w14:paraId="778EFE1E" w14:textId="0C8595D3" w:rsidR="000E6E1B" w:rsidRPr="00756690" w:rsidRDefault="000E6E1B" w:rsidP="009413BE">
            <w:pPr>
              <w:pStyle w:val="TableBullet"/>
            </w:pPr>
            <w:r w:rsidRPr="00756690">
              <w:t xml:space="preserve">Legal risk </w:t>
            </w:r>
            <w:r w:rsidR="00AC022D" w:rsidRPr="00756690">
              <w:t>management</w:t>
            </w:r>
          </w:p>
        </w:tc>
        <w:tc>
          <w:tcPr>
            <w:tcW w:w="1821" w:type="dxa"/>
            <w:tcBorders>
              <w:top w:val="single" w:sz="4" w:space="0" w:color="auto"/>
              <w:bottom w:val="single" w:sz="4" w:space="0" w:color="auto"/>
            </w:tcBorders>
            <w:shd w:val="clear" w:color="auto" w:fill="auto"/>
          </w:tcPr>
          <w:p w14:paraId="7B4DD0FC" w14:textId="2B0E408E" w:rsidR="000E6E1B" w:rsidRPr="00756690" w:rsidRDefault="000E6E1B" w:rsidP="00756690">
            <w:pPr>
              <w:pStyle w:val="TableText0"/>
            </w:pPr>
            <w:r w:rsidRPr="00756690">
              <w:t>Call centre supervisor</w:t>
            </w:r>
          </w:p>
          <w:p w14:paraId="73573F97" w14:textId="3178A295" w:rsidR="000E6E1B" w:rsidRPr="00756690" w:rsidRDefault="00473367" w:rsidP="00756690">
            <w:pPr>
              <w:pStyle w:val="TableText0"/>
            </w:pPr>
            <w:r w:rsidRPr="00756690">
              <w:t>Community Engagement and Media</w:t>
            </w:r>
            <w:r w:rsidR="00762A8B">
              <w:t xml:space="preserve"> Liaison</w:t>
            </w:r>
          </w:p>
        </w:tc>
      </w:tr>
      <w:tr w:rsidR="000E6E1B" w:rsidRPr="00756690" w14:paraId="6D7FFBFF" w14:textId="77777777" w:rsidTr="00722234">
        <w:trPr>
          <w:cantSplit/>
        </w:trPr>
        <w:tc>
          <w:tcPr>
            <w:tcW w:w="1885" w:type="dxa"/>
            <w:tcBorders>
              <w:top w:val="single" w:sz="4" w:space="0" w:color="auto"/>
              <w:bottom w:val="single" w:sz="4" w:space="0" w:color="auto"/>
            </w:tcBorders>
            <w:shd w:val="clear" w:color="auto" w:fill="auto"/>
          </w:tcPr>
          <w:p w14:paraId="3CEF4B89" w14:textId="4D7F42C1" w:rsidR="000E6E1B" w:rsidRPr="00756690" w:rsidRDefault="000E6E1B" w:rsidP="00756690">
            <w:pPr>
              <w:pStyle w:val="TableText0"/>
            </w:pPr>
            <w:r w:rsidRPr="00756690">
              <w:t>Complaints register</w:t>
            </w:r>
          </w:p>
        </w:tc>
        <w:tc>
          <w:tcPr>
            <w:tcW w:w="2970" w:type="dxa"/>
            <w:tcBorders>
              <w:top w:val="single" w:sz="4" w:space="0" w:color="auto"/>
              <w:bottom w:val="single" w:sz="4" w:space="0" w:color="auto"/>
            </w:tcBorders>
            <w:shd w:val="clear" w:color="auto" w:fill="auto"/>
          </w:tcPr>
          <w:p w14:paraId="43318A5B" w14:textId="2630B2B1" w:rsidR="000E6E1B" w:rsidRPr="00756690" w:rsidRDefault="000E6E1B" w:rsidP="009413BE">
            <w:pPr>
              <w:pStyle w:val="TableBullet"/>
            </w:pPr>
            <w:r w:rsidRPr="00756690">
              <w:t>List showing actions for all complaints</w:t>
            </w:r>
            <w:r w:rsidR="009413BE">
              <w:t xml:space="preserve"> and</w:t>
            </w:r>
            <w:r w:rsidRPr="00756690">
              <w:t xml:space="preserve"> correspondence with external stakeholders</w:t>
            </w:r>
          </w:p>
          <w:p w14:paraId="5E9598C1" w14:textId="3543FC34" w:rsidR="000E6E1B" w:rsidRPr="00756690" w:rsidRDefault="000E6E1B" w:rsidP="009413BE">
            <w:pPr>
              <w:pStyle w:val="TableBullet"/>
            </w:pPr>
            <w:r w:rsidRPr="00756690">
              <w:t>Case file for each stakeholder who sends</w:t>
            </w:r>
            <w:r w:rsidR="00E90860" w:rsidRPr="00756690">
              <w:t xml:space="preserve"> and </w:t>
            </w:r>
            <w:r w:rsidRPr="00756690">
              <w:t>receives correspondence</w:t>
            </w:r>
          </w:p>
          <w:p w14:paraId="2C11F9D5" w14:textId="0C2F30CF" w:rsidR="000E6E1B" w:rsidRPr="00756690" w:rsidRDefault="000E6E1B" w:rsidP="009413BE">
            <w:pPr>
              <w:pStyle w:val="TableBullet"/>
            </w:pPr>
            <w:r w:rsidRPr="00756690">
              <w:t xml:space="preserve">Reports to </w:t>
            </w:r>
            <w:r w:rsidR="009413BE">
              <w:t>m</w:t>
            </w:r>
            <w:r w:rsidR="00AC022D" w:rsidRPr="00756690">
              <w:t>anagement</w:t>
            </w:r>
          </w:p>
        </w:tc>
        <w:tc>
          <w:tcPr>
            <w:tcW w:w="2340" w:type="dxa"/>
            <w:tcBorders>
              <w:top w:val="single" w:sz="4" w:space="0" w:color="auto"/>
              <w:bottom w:val="single" w:sz="4" w:space="0" w:color="auto"/>
            </w:tcBorders>
            <w:shd w:val="clear" w:color="auto" w:fill="auto"/>
          </w:tcPr>
          <w:p w14:paraId="48AA326D" w14:textId="77777777" w:rsidR="000E6E1B" w:rsidRPr="00756690" w:rsidRDefault="000E6E1B" w:rsidP="009413BE">
            <w:pPr>
              <w:pStyle w:val="TableBullet"/>
            </w:pPr>
            <w:r w:rsidRPr="00756690">
              <w:t>Client management</w:t>
            </w:r>
          </w:p>
          <w:p w14:paraId="445D5577" w14:textId="0970277B" w:rsidR="000E6E1B" w:rsidRPr="00756690" w:rsidRDefault="000E6E1B" w:rsidP="009413BE">
            <w:pPr>
              <w:pStyle w:val="TableBullet"/>
            </w:pPr>
            <w:r w:rsidRPr="00756690">
              <w:t xml:space="preserve">Responses knows what it </w:t>
            </w:r>
            <w:r w:rsidR="00864872">
              <w:t xml:space="preserve">should </w:t>
            </w:r>
            <w:r w:rsidRPr="00756690">
              <w:t>know</w:t>
            </w:r>
          </w:p>
          <w:p w14:paraId="0FD5C38D" w14:textId="77777777" w:rsidR="00B00977" w:rsidRPr="00756690" w:rsidRDefault="000E6E1B" w:rsidP="009413BE">
            <w:pPr>
              <w:pStyle w:val="TableBullet"/>
            </w:pPr>
            <w:r w:rsidRPr="00756690">
              <w:t xml:space="preserve">Consistency and reproducibility </w:t>
            </w:r>
          </w:p>
          <w:p w14:paraId="0423899C" w14:textId="242A8FA7" w:rsidR="000E6E1B" w:rsidRPr="00756690" w:rsidRDefault="000E6E1B" w:rsidP="009413BE">
            <w:pPr>
              <w:pStyle w:val="TableBullet"/>
            </w:pPr>
            <w:r w:rsidRPr="00756690">
              <w:t>Reduction in n</w:t>
            </w:r>
            <w:r w:rsidR="00AC022D" w:rsidRPr="00756690">
              <w:t>umber</w:t>
            </w:r>
            <w:r w:rsidRPr="00756690">
              <w:t xml:space="preserve"> of complaints</w:t>
            </w:r>
          </w:p>
        </w:tc>
        <w:tc>
          <w:tcPr>
            <w:tcW w:w="1821" w:type="dxa"/>
            <w:tcBorders>
              <w:top w:val="single" w:sz="4" w:space="0" w:color="auto"/>
              <w:bottom w:val="single" w:sz="4" w:space="0" w:color="auto"/>
            </w:tcBorders>
            <w:shd w:val="clear" w:color="auto" w:fill="auto"/>
          </w:tcPr>
          <w:p w14:paraId="0639CC95" w14:textId="62989774" w:rsidR="000E6E1B" w:rsidRPr="00756690" w:rsidRDefault="00917CB6" w:rsidP="00756690">
            <w:pPr>
              <w:pStyle w:val="TableText0"/>
            </w:pPr>
            <w:r w:rsidRPr="00756690">
              <w:t>Management</w:t>
            </w:r>
            <w:r w:rsidR="000E6E1B" w:rsidRPr="00756690">
              <w:t xml:space="preserve"> </w:t>
            </w:r>
            <w:r w:rsidR="00F62AAA">
              <w:t>s</w:t>
            </w:r>
            <w:r w:rsidR="000E6E1B" w:rsidRPr="00756690">
              <w:t>upport</w:t>
            </w:r>
          </w:p>
          <w:p w14:paraId="24913B04" w14:textId="77777777" w:rsidR="000E6E1B" w:rsidRPr="00756690" w:rsidRDefault="000E6E1B" w:rsidP="00756690">
            <w:pPr>
              <w:pStyle w:val="TableText0"/>
            </w:pPr>
            <w:r w:rsidRPr="00756690">
              <w:t>Records Officer</w:t>
            </w:r>
          </w:p>
          <w:p w14:paraId="726A27A6" w14:textId="2B3884FB" w:rsidR="00325E51" w:rsidRPr="00756690" w:rsidRDefault="00325E51" w:rsidP="00756690">
            <w:pPr>
              <w:pStyle w:val="TableText0"/>
            </w:pPr>
            <w:r w:rsidRPr="00756690">
              <w:t>Communications</w:t>
            </w:r>
          </w:p>
        </w:tc>
      </w:tr>
      <w:tr w:rsidR="000E6E1B" w:rsidRPr="00756690" w14:paraId="5DF7BBE4" w14:textId="77777777" w:rsidTr="00722234">
        <w:trPr>
          <w:cantSplit/>
        </w:trPr>
        <w:tc>
          <w:tcPr>
            <w:tcW w:w="1885" w:type="dxa"/>
            <w:tcBorders>
              <w:top w:val="single" w:sz="4" w:space="0" w:color="auto"/>
              <w:bottom w:val="single" w:sz="4" w:space="0" w:color="auto"/>
            </w:tcBorders>
            <w:shd w:val="clear" w:color="auto" w:fill="auto"/>
          </w:tcPr>
          <w:p w14:paraId="4CEAF0A7" w14:textId="2F55A909" w:rsidR="000E6E1B" w:rsidRPr="00756690" w:rsidRDefault="000E6E1B" w:rsidP="00756690">
            <w:pPr>
              <w:pStyle w:val="TableText0"/>
            </w:pPr>
            <w:r w:rsidRPr="00756690">
              <w:t>Comm</w:t>
            </w:r>
            <w:r w:rsidR="00AC022D" w:rsidRPr="00756690">
              <w:t>unications</w:t>
            </w:r>
            <w:r w:rsidRPr="00756690">
              <w:t xml:space="preserve"> </w:t>
            </w:r>
            <w:r w:rsidR="009413BE">
              <w:t>P</w:t>
            </w:r>
            <w:r w:rsidRPr="00756690">
              <w:t xml:space="preserve">lan </w:t>
            </w:r>
            <w:r w:rsidR="00B6438E" w:rsidRPr="00756690">
              <w:t>p</w:t>
            </w:r>
            <w:r w:rsidRPr="00756690">
              <w:t>hone list</w:t>
            </w:r>
          </w:p>
        </w:tc>
        <w:tc>
          <w:tcPr>
            <w:tcW w:w="2970" w:type="dxa"/>
            <w:tcBorders>
              <w:top w:val="single" w:sz="4" w:space="0" w:color="auto"/>
              <w:bottom w:val="single" w:sz="4" w:space="0" w:color="auto"/>
            </w:tcBorders>
            <w:shd w:val="clear" w:color="auto" w:fill="auto"/>
          </w:tcPr>
          <w:p w14:paraId="6C1F0B09" w14:textId="77777777" w:rsidR="000E6E1B" w:rsidRPr="00756690" w:rsidRDefault="000E6E1B" w:rsidP="009413BE">
            <w:pPr>
              <w:pStyle w:val="TableBullet"/>
            </w:pPr>
            <w:r w:rsidRPr="00756690">
              <w:t>Collated contact list (voice, email, text, radio) for personnel</w:t>
            </w:r>
          </w:p>
          <w:p w14:paraId="7DF74656" w14:textId="173617D5" w:rsidR="000E6E1B" w:rsidRPr="00756690" w:rsidRDefault="000E6E1B" w:rsidP="009413BE">
            <w:pPr>
              <w:pStyle w:val="TableBullet"/>
            </w:pPr>
            <w:r w:rsidRPr="00756690">
              <w:t>Physical location or vehicle call sign of each person shown in Comm</w:t>
            </w:r>
            <w:r w:rsidR="00BF3414" w:rsidRPr="00756690">
              <w:t>unications</w:t>
            </w:r>
            <w:r w:rsidRPr="00756690">
              <w:t xml:space="preserve"> Plan/</w:t>
            </w:r>
            <w:r w:rsidR="009413BE">
              <w:t>c</w:t>
            </w:r>
            <w:r w:rsidRPr="00756690">
              <w:t>ontact list</w:t>
            </w:r>
          </w:p>
        </w:tc>
        <w:tc>
          <w:tcPr>
            <w:tcW w:w="2340" w:type="dxa"/>
            <w:tcBorders>
              <w:top w:val="single" w:sz="4" w:space="0" w:color="auto"/>
              <w:bottom w:val="single" w:sz="4" w:space="0" w:color="auto"/>
            </w:tcBorders>
            <w:shd w:val="clear" w:color="auto" w:fill="auto"/>
          </w:tcPr>
          <w:p w14:paraId="12524B01" w14:textId="77777777" w:rsidR="000E6E1B" w:rsidRPr="00756690" w:rsidRDefault="000E6E1B" w:rsidP="009413BE">
            <w:pPr>
              <w:pStyle w:val="TableBullet"/>
            </w:pPr>
            <w:r w:rsidRPr="00756690">
              <w:t>All personnel can be easily reached</w:t>
            </w:r>
          </w:p>
          <w:p w14:paraId="7A141F48" w14:textId="77777777" w:rsidR="000E6E1B" w:rsidRPr="00756690" w:rsidRDefault="000E6E1B" w:rsidP="009413BE">
            <w:pPr>
              <w:pStyle w:val="TableBullet"/>
            </w:pPr>
            <w:r w:rsidRPr="00756690">
              <w:t>Good SSA</w:t>
            </w:r>
          </w:p>
          <w:p w14:paraId="7100F6A7" w14:textId="77777777" w:rsidR="000E6E1B" w:rsidRPr="00756690" w:rsidRDefault="000E6E1B" w:rsidP="009413BE">
            <w:pPr>
              <w:pStyle w:val="TableBullet"/>
            </w:pPr>
            <w:r w:rsidRPr="00756690">
              <w:t>WHS</w:t>
            </w:r>
          </w:p>
          <w:p w14:paraId="4D035B47" w14:textId="2F759740" w:rsidR="000E6E1B" w:rsidRPr="00756690" w:rsidRDefault="000E6E1B" w:rsidP="009413BE">
            <w:pPr>
              <w:pStyle w:val="TableBullet"/>
            </w:pPr>
            <w:r w:rsidRPr="00756690">
              <w:t xml:space="preserve">Stakeholder </w:t>
            </w:r>
            <w:r w:rsidR="00BF3414" w:rsidRPr="00756690">
              <w:t>management</w:t>
            </w:r>
          </w:p>
        </w:tc>
        <w:tc>
          <w:tcPr>
            <w:tcW w:w="1821" w:type="dxa"/>
            <w:tcBorders>
              <w:top w:val="single" w:sz="4" w:space="0" w:color="auto"/>
              <w:bottom w:val="single" w:sz="4" w:space="0" w:color="auto"/>
            </w:tcBorders>
            <w:shd w:val="clear" w:color="auto" w:fill="auto"/>
          </w:tcPr>
          <w:p w14:paraId="1EB858AA" w14:textId="77777777" w:rsidR="000E6E1B" w:rsidRPr="00756690" w:rsidRDefault="000E6E1B" w:rsidP="00756690">
            <w:pPr>
              <w:pStyle w:val="TableText0"/>
            </w:pPr>
            <w:r w:rsidRPr="00756690">
              <w:t>Planning Officer</w:t>
            </w:r>
          </w:p>
          <w:p w14:paraId="492650D4" w14:textId="6DA4F7F3" w:rsidR="00325E51" w:rsidRPr="00756690" w:rsidRDefault="00325E51" w:rsidP="00756690">
            <w:pPr>
              <w:pStyle w:val="TableText0"/>
            </w:pPr>
            <w:r w:rsidRPr="00756690">
              <w:t>Planning</w:t>
            </w:r>
          </w:p>
        </w:tc>
      </w:tr>
      <w:tr w:rsidR="000E6E1B" w:rsidRPr="00D57ACA" w14:paraId="7B118FB3" w14:textId="77777777" w:rsidTr="00722234">
        <w:trPr>
          <w:cantSplit/>
        </w:trPr>
        <w:tc>
          <w:tcPr>
            <w:tcW w:w="1885" w:type="dxa"/>
            <w:tcBorders>
              <w:top w:val="single" w:sz="4" w:space="0" w:color="auto"/>
              <w:bottom w:val="single" w:sz="4" w:space="0" w:color="auto"/>
            </w:tcBorders>
            <w:shd w:val="clear" w:color="auto" w:fill="auto"/>
          </w:tcPr>
          <w:p w14:paraId="29A57ECD" w14:textId="6A7B218A" w:rsidR="000E6E1B" w:rsidRPr="00756690" w:rsidRDefault="000E6E1B" w:rsidP="00756690">
            <w:pPr>
              <w:pStyle w:val="TableText0"/>
            </w:pPr>
            <w:r w:rsidRPr="00756690">
              <w:t>Comm</w:t>
            </w:r>
            <w:r w:rsidR="00AC022D" w:rsidRPr="00756690">
              <w:t>unications</w:t>
            </w:r>
            <w:r w:rsidRPr="00756690">
              <w:t xml:space="preserve"> – media and public information, community engagement</w:t>
            </w:r>
          </w:p>
        </w:tc>
        <w:tc>
          <w:tcPr>
            <w:tcW w:w="2970" w:type="dxa"/>
            <w:tcBorders>
              <w:top w:val="single" w:sz="4" w:space="0" w:color="auto"/>
              <w:bottom w:val="single" w:sz="4" w:space="0" w:color="auto"/>
            </w:tcBorders>
            <w:shd w:val="clear" w:color="auto" w:fill="auto"/>
          </w:tcPr>
          <w:p w14:paraId="4CFE4129" w14:textId="0F46D4ED" w:rsidR="000E6E1B" w:rsidRPr="00756690" w:rsidRDefault="000E6E1B" w:rsidP="009413BE">
            <w:pPr>
              <w:pStyle w:val="TableBullet"/>
            </w:pPr>
            <w:r w:rsidRPr="00756690">
              <w:t xml:space="preserve">Information and education documents </w:t>
            </w:r>
            <w:r w:rsidR="009413BE">
              <w:t>(</w:t>
            </w:r>
            <w:r w:rsidRPr="00756690">
              <w:t>eg</w:t>
            </w:r>
            <w:r w:rsidR="009413BE">
              <w:t> </w:t>
            </w:r>
            <w:r w:rsidRPr="00756690">
              <w:t>FAQs</w:t>
            </w:r>
            <w:r w:rsidR="009413BE">
              <w:t>)</w:t>
            </w:r>
          </w:p>
          <w:p w14:paraId="51168EB2" w14:textId="77777777" w:rsidR="000E6E1B" w:rsidRPr="00756690" w:rsidRDefault="000E6E1B" w:rsidP="009413BE">
            <w:pPr>
              <w:pStyle w:val="TableBullet"/>
            </w:pPr>
            <w:r w:rsidRPr="00756690">
              <w:t>Policies</w:t>
            </w:r>
          </w:p>
          <w:p w14:paraId="696D2378" w14:textId="77777777" w:rsidR="000E6E1B" w:rsidRPr="00756690" w:rsidRDefault="000E6E1B" w:rsidP="009413BE">
            <w:pPr>
              <w:pStyle w:val="TableBullet"/>
            </w:pPr>
            <w:r w:rsidRPr="00756690">
              <w:t>Procedures</w:t>
            </w:r>
          </w:p>
          <w:p w14:paraId="1AF6A683" w14:textId="1ABA5384" w:rsidR="000E6E1B" w:rsidRPr="00756690" w:rsidRDefault="000E6E1B" w:rsidP="009413BE">
            <w:pPr>
              <w:pStyle w:val="TableBullet"/>
            </w:pPr>
            <w:r w:rsidRPr="00756690">
              <w:t xml:space="preserve">Reports from channels </w:t>
            </w:r>
            <w:r w:rsidR="009413BE">
              <w:t>–</w:t>
            </w:r>
            <w:r w:rsidRPr="00756690">
              <w:t xml:space="preserve"> </w:t>
            </w:r>
            <w:r w:rsidR="009413BE">
              <w:t>w</w:t>
            </w:r>
            <w:r w:rsidRPr="00756690">
              <w:t>eb</w:t>
            </w:r>
            <w:r w:rsidR="009413BE">
              <w:t>,</w:t>
            </w:r>
            <w:r w:rsidRPr="00756690">
              <w:t xml:space="preserve"> email</w:t>
            </w:r>
            <w:r w:rsidR="009413BE">
              <w:t>,</w:t>
            </w:r>
            <w:r w:rsidRPr="00756690">
              <w:t xml:space="preserve"> mobile</w:t>
            </w:r>
            <w:r w:rsidR="009413BE">
              <w:t>,</w:t>
            </w:r>
            <w:r w:rsidRPr="00756690">
              <w:t xml:space="preserve"> landline</w:t>
            </w:r>
            <w:r w:rsidR="009413BE">
              <w:t>,</w:t>
            </w:r>
            <w:r w:rsidRPr="00756690">
              <w:t xml:space="preserve"> social media</w:t>
            </w:r>
          </w:p>
          <w:p w14:paraId="035EA2FF" w14:textId="77777777" w:rsidR="000E6E1B" w:rsidRPr="00756690" w:rsidRDefault="000E6E1B" w:rsidP="009413BE">
            <w:pPr>
              <w:pStyle w:val="TableBullet"/>
            </w:pPr>
            <w:r w:rsidRPr="00756690">
              <w:t>Communications Plan</w:t>
            </w:r>
          </w:p>
          <w:p w14:paraId="609FB4FA" w14:textId="77777777" w:rsidR="000E6E1B" w:rsidRPr="00756690" w:rsidRDefault="000E6E1B" w:rsidP="009413BE">
            <w:pPr>
              <w:pStyle w:val="TableBullet"/>
            </w:pPr>
            <w:r w:rsidRPr="00756690">
              <w:t>Risk assessments</w:t>
            </w:r>
          </w:p>
          <w:p w14:paraId="69EEB854" w14:textId="77777777" w:rsidR="000E6E1B" w:rsidRPr="00756690" w:rsidRDefault="000E6E1B" w:rsidP="009413BE">
            <w:pPr>
              <w:pStyle w:val="TableBullet"/>
            </w:pPr>
            <w:r w:rsidRPr="00756690">
              <w:t>Analysis outputs</w:t>
            </w:r>
          </w:p>
          <w:p w14:paraId="062262BC" w14:textId="79229EE7" w:rsidR="000E6E1B" w:rsidRPr="00756690" w:rsidRDefault="000E6E1B" w:rsidP="009413BE">
            <w:pPr>
              <w:pStyle w:val="TableBullet"/>
            </w:pPr>
            <w:r w:rsidRPr="00756690">
              <w:t>Media releases</w:t>
            </w:r>
            <w:r w:rsidR="00864872">
              <w:t>,</w:t>
            </w:r>
            <w:r w:rsidRPr="00756690">
              <w:t xml:space="preserve"> </w:t>
            </w:r>
            <w:r w:rsidR="009413BE">
              <w:t>etc</w:t>
            </w:r>
          </w:p>
          <w:p w14:paraId="70326F35" w14:textId="77777777" w:rsidR="000E6E1B" w:rsidRPr="00756690" w:rsidRDefault="000E6E1B" w:rsidP="009413BE">
            <w:pPr>
              <w:pStyle w:val="TableBullet"/>
            </w:pPr>
            <w:r w:rsidRPr="00756690">
              <w:t>Briefings</w:t>
            </w:r>
          </w:p>
        </w:tc>
        <w:tc>
          <w:tcPr>
            <w:tcW w:w="2340" w:type="dxa"/>
            <w:tcBorders>
              <w:top w:val="single" w:sz="4" w:space="0" w:color="auto"/>
              <w:bottom w:val="single" w:sz="4" w:space="0" w:color="auto"/>
            </w:tcBorders>
            <w:shd w:val="clear" w:color="auto" w:fill="auto"/>
          </w:tcPr>
          <w:p w14:paraId="2D4F04D4" w14:textId="77777777" w:rsidR="000E6E1B" w:rsidRPr="00756690" w:rsidRDefault="000E6E1B" w:rsidP="009413BE">
            <w:pPr>
              <w:pStyle w:val="TableBullet"/>
            </w:pPr>
            <w:r w:rsidRPr="00756690">
              <w:t>Stakeholders are engaged and supportive of the response</w:t>
            </w:r>
          </w:p>
        </w:tc>
        <w:tc>
          <w:tcPr>
            <w:tcW w:w="1821" w:type="dxa"/>
            <w:tcBorders>
              <w:top w:val="single" w:sz="4" w:space="0" w:color="auto"/>
              <w:bottom w:val="single" w:sz="4" w:space="0" w:color="auto"/>
            </w:tcBorders>
            <w:shd w:val="clear" w:color="auto" w:fill="auto"/>
          </w:tcPr>
          <w:p w14:paraId="76B36AD9" w14:textId="77777777" w:rsidR="000E6E1B" w:rsidRPr="00D57ACA" w:rsidRDefault="000E6E1B" w:rsidP="00756690">
            <w:pPr>
              <w:pStyle w:val="TableText0"/>
              <w:rPr>
                <w:lang w:val="fr-FR"/>
              </w:rPr>
            </w:pPr>
            <w:r w:rsidRPr="00D57ACA">
              <w:rPr>
                <w:lang w:val="fr-FR"/>
              </w:rPr>
              <w:t>Communications M</w:t>
            </w:r>
            <w:r w:rsidR="00BF3414" w:rsidRPr="00D57ACA">
              <w:rPr>
                <w:lang w:val="fr-FR"/>
              </w:rPr>
              <w:t>ana</w:t>
            </w:r>
            <w:r w:rsidRPr="00D57ACA">
              <w:rPr>
                <w:lang w:val="fr-FR"/>
              </w:rPr>
              <w:t>g</w:t>
            </w:r>
            <w:r w:rsidR="00BF3414" w:rsidRPr="00D57ACA">
              <w:rPr>
                <w:lang w:val="fr-FR"/>
              </w:rPr>
              <w:t>e</w:t>
            </w:r>
            <w:r w:rsidRPr="00D57ACA">
              <w:rPr>
                <w:lang w:val="fr-FR"/>
              </w:rPr>
              <w:t>r</w:t>
            </w:r>
          </w:p>
          <w:p w14:paraId="7BF82E35" w14:textId="1BCBAEBC" w:rsidR="00325E51" w:rsidRPr="00D57ACA" w:rsidRDefault="00325E51" w:rsidP="00756690">
            <w:pPr>
              <w:pStyle w:val="TableText0"/>
              <w:rPr>
                <w:lang w:val="fr-FR"/>
              </w:rPr>
            </w:pPr>
            <w:r w:rsidRPr="00D57ACA">
              <w:rPr>
                <w:lang w:val="fr-FR"/>
              </w:rPr>
              <w:t>Community Engagement and Media</w:t>
            </w:r>
            <w:r w:rsidR="00762A8B" w:rsidRPr="00D57ACA">
              <w:rPr>
                <w:lang w:val="fr-FR"/>
              </w:rPr>
              <w:t xml:space="preserve"> Liaison</w:t>
            </w:r>
          </w:p>
        </w:tc>
      </w:tr>
      <w:tr w:rsidR="000E6E1B" w:rsidRPr="00756690" w14:paraId="7029331A" w14:textId="77777777" w:rsidTr="00722234">
        <w:trPr>
          <w:cantSplit/>
        </w:trPr>
        <w:tc>
          <w:tcPr>
            <w:tcW w:w="1885" w:type="dxa"/>
            <w:tcBorders>
              <w:top w:val="single" w:sz="4" w:space="0" w:color="auto"/>
              <w:bottom w:val="single" w:sz="4" w:space="0" w:color="auto"/>
            </w:tcBorders>
            <w:shd w:val="clear" w:color="auto" w:fill="auto"/>
          </w:tcPr>
          <w:p w14:paraId="2B720937" w14:textId="1B15DA75" w:rsidR="000E6E1B" w:rsidRPr="00756690" w:rsidRDefault="000E6E1B" w:rsidP="00756690">
            <w:pPr>
              <w:pStyle w:val="TableText0"/>
            </w:pPr>
            <w:r w:rsidRPr="00756690">
              <w:t>Field team, dispatch, return and information processing (surveillance, destruction, disposal, valuation, vaccination, vertebrate pests)</w:t>
            </w:r>
          </w:p>
        </w:tc>
        <w:tc>
          <w:tcPr>
            <w:tcW w:w="2970" w:type="dxa"/>
            <w:tcBorders>
              <w:top w:val="single" w:sz="4" w:space="0" w:color="auto"/>
              <w:bottom w:val="single" w:sz="4" w:space="0" w:color="auto"/>
            </w:tcBorders>
            <w:shd w:val="clear" w:color="auto" w:fill="auto"/>
          </w:tcPr>
          <w:p w14:paraId="50D84C56" w14:textId="7E963275" w:rsidR="000E6E1B" w:rsidRPr="0045090A" w:rsidRDefault="000E6E1B" w:rsidP="009413BE">
            <w:pPr>
              <w:pStyle w:val="TableBullet"/>
            </w:pPr>
            <w:r w:rsidRPr="00756690">
              <w:t>Relevant plans – surveillance, tracing, vaccination</w:t>
            </w:r>
            <w:r w:rsidR="009413BE">
              <w:t>,</w:t>
            </w:r>
            <w:r w:rsidRPr="00756690">
              <w:t xml:space="preserve"> movement contro</w:t>
            </w:r>
            <w:r w:rsidRPr="0045090A">
              <w:t>l, IAP</w:t>
            </w:r>
          </w:p>
          <w:p w14:paraId="14F5526A" w14:textId="0FEF4CF3" w:rsidR="000E6E1B" w:rsidRPr="0045090A" w:rsidRDefault="000E6E1B" w:rsidP="009413BE">
            <w:pPr>
              <w:pStyle w:val="TableBullet"/>
            </w:pPr>
            <w:r w:rsidRPr="0045090A">
              <w:t>Tasking</w:t>
            </w:r>
            <w:r w:rsidR="009413BE" w:rsidRPr="0045090A">
              <w:t xml:space="preserve">, </w:t>
            </w:r>
            <w:r w:rsidRPr="0045090A">
              <w:t>SMEAC</w:t>
            </w:r>
            <w:r w:rsidR="00864872">
              <w:t>S</w:t>
            </w:r>
            <w:r w:rsidR="009413BE" w:rsidRPr="0045090A">
              <w:t>, b</w:t>
            </w:r>
            <w:r w:rsidRPr="0045090A">
              <w:t>riefing</w:t>
            </w:r>
            <w:r w:rsidR="009413BE" w:rsidRPr="0045090A">
              <w:t xml:space="preserve">, </w:t>
            </w:r>
            <w:r w:rsidRPr="0045090A">
              <w:t>AAR</w:t>
            </w:r>
          </w:p>
          <w:p w14:paraId="226777D0" w14:textId="77777777" w:rsidR="000E6E1B" w:rsidRPr="00756690" w:rsidRDefault="000E6E1B" w:rsidP="009413BE">
            <w:pPr>
              <w:pStyle w:val="TableBullet"/>
            </w:pPr>
            <w:r w:rsidRPr="00756690">
              <w:t>Resource tracking</w:t>
            </w:r>
          </w:p>
          <w:p w14:paraId="766C2F17" w14:textId="0D464388" w:rsidR="000E6E1B" w:rsidRPr="00756690" w:rsidRDefault="000E6E1B" w:rsidP="009413BE">
            <w:pPr>
              <w:pStyle w:val="TableBullet"/>
            </w:pPr>
            <w:r w:rsidRPr="00756690">
              <w:t>Field information collection records</w:t>
            </w:r>
            <w:r w:rsidR="009413BE">
              <w:t>,</w:t>
            </w:r>
            <w:r w:rsidRPr="00756690">
              <w:t xml:space="preserve"> </w:t>
            </w:r>
            <w:r w:rsidR="00FC23FC" w:rsidRPr="00756690">
              <w:t>including</w:t>
            </w:r>
            <w:r w:rsidRPr="00756690">
              <w:t xml:space="preserve"> digital images and voice recordings</w:t>
            </w:r>
          </w:p>
          <w:p w14:paraId="2F577EF7" w14:textId="77777777" w:rsidR="000E6E1B" w:rsidRPr="00756690" w:rsidRDefault="000E6E1B" w:rsidP="009413BE">
            <w:pPr>
              <w:pStyle w:val="TableBullet"/>
            </w:pPr>
            <w:r w:rsidRPr="00756690">
              <w:t>Checklists</w:t>
            </w:r>
          </w:p>
          <w:p w14:paraId="4AAE9C14" w14:textId="77777777" w:rsidR="000E6E1B" w:rsidRPr="00756690" w:rsidRDefault="000E6E1B" w:rsidP="009413BE">
            <w:pPr>
              <w:pStyle w:val="TableBullet"/>
            </w:pPr>
            <w:r w:rsidRPr="00756690">
              <w:t>Risk assessments</w:t>
            </w:r>
          </w:p>
          <w:p w14:paraId="27A676A5" w14:textId="77777777" w:rsidR="000E6E1B" w:rsidRPr="00756690" w:rsidRDefault="000E6E1B" w:rsidP="009413BE">
            <w:pPr>
              <w:pStyle w:val="TableBullet"/>
            </w:pPr>
            <w:r w:rsidRPr="00756690">
              <w:t xml:space="preserve">Procedures </w:t>
            </w:r>
          </w:p>
          <w:p w14:paraId="38226771" w14:textId="293F67EC" w:rsidR="000E6E1B" w:rsidRPr="00756690" w:rsidRDefault="000E6E1B" w:rsidP="009413BE">
            <w:pPr>
              <w:pStyle w:val="TableBullet"/>
            </w:pPr>
            <w:r w:rsidRPr="00756690">
              <w:t>Resource/stores register</w:t>
            </w:r>
          </w:p>
          <w:p w14:paraId="1AE7292D" w14:textId="0082A13B" w:rsidR="000E6E1B" w:rsidRPr="00756690" w:rsidRDefault="000E6E1B" w:rsidP="009413BE">
            <w:pPr>
              <w:pStyle w:val="TableBullet"/>
            </w:pPr>
            <w:r w:rsidRPr="00756690">
              <w:t xml:space="preserve">Communications </w:t>
            </w:r>
            <w:r w:rsidR="009413BE">
              <w:t>P</w:t>
            </w:r>
            <w:r w:rsidRPr="00756690">
              <w:t>lan (radio, phones)</w:t>
            </w:r>
          </w:p>
        </w:tc>
        <w:tc>
          <w:tcPr>
            <w:tcW w:w="2340" w:type="dxa"/>
            <w:tcBorders>
              <w:top w:val="single" w:sz="4" w:space="0" w:color="auto"/>
              <w:bottom w:val="single" w:sz="4" w:space="0" w:color="auto"/>
            </w:tcBorders>
            <w:shd w:val="clear" w:color="auto" w:fill="auto"/>
          </w:tcPr>
          <w:p w14:paraId="38727887" w14:textId="77777777" w:rsidR="000E6E1B" w:rsidRPr="00756690" w:rsidRDefault="000E6E1B" w:rsidP="009413BE">
            <w:pPr>
              <w:pStyle w:val="TableBullet"/>
            </w:pPr>
            <w:r w:rsidRPr="00756690">
              <w:t>WHS of field personnel</w:t>
            </w:r>
          </w:p>
          <w:p w14:paraId="1A86920F" w14:textId="18264744" w:rsidR="000E6E1B" w:rsidRPr="00756690" w:rsidRDefault="000E6E1B" w:rsidP="009413BE">
            <w:pPr>
              <w:pStyle w:val="TableBullet"/>
            </w:pPr>
            <w:r w:rsidRPr="00756690">
              <w:t xml:space="preserve">Response knows what it </w:t>
            </w:r>
            <w:r w:rsidR="009413BE">
              <w:t xml:space="preserve">should </w:t>
            </w:r>
            <w:r w:rsidRPr="00756690">
              <w:t>know</w:t>
            </w:r>
          </w:p>
          <w:p w14:paraId="379E1A13" w14:textId="327A7614" w:rsidR="000E6E1B" w:rsidRPr="00756690" w:rsidRDefault="000E6E1B" w:rsidP="009413BE">
            <w:pPr>
              <w:pStyle w:val="TableBullet"/>
            </w:pPr>
            <w:r w:rsidRPr="00756690">
              <w:t xml:space="preserve">Stakeholder </w:t>
            </w:r>
            <w:r w:rsidR="00917CB6" w:rsidRPr="00756690">
              <w:t>management</w:t>
            </w:r>
          </w:p>
        </w:tc>
        <w:tc>
          <w:tcPr>
            <w:tcW w:w="1821" w:type="dxa"/>
            <w:tcBorders>
              <w:top w:val="single" w:sz="4" w:space="0" w:color="auto"/>
              <w:bottom w:val="single" w:sz="4" w:space="0" w:color="auto"/>
            </w:tcBorders>
            <w:shd w:val="clear" w:color="auto" w:fill="auto"/>
          </w:tcPr>
          <w:p w14:paraId="0B6D036D" w14:textId="20A234FF" w:rsidR="000E6E1B" w:rsidRPr="00756690" w:rsidRDefault="000E6E1B" w:rsidP="00756690">
            <w:pPr>
              <w:pStyle w:val="TableText0"/>
            </w:pPr>
            <w:r w:rsidRPr="00756690">
              <w:t>Operations</w:t>
            </w:r>
            <w:r w:rsidR="00325E51" w:rsidRPr="00756690">
              <w:t xml:space="preserve"> sections </w:t>
            </w:r>
            <w:r w:rsidR="009413BE">
              <w:t>(</w:t>
            </w:r>
            <w:r w:rsidR="00325E51" w:rsidRPr="00756690">
              <w:t>eg</w:t>
            </w:r>
            <w:r w:rsidR="009413BE">
              <w:t> </w:t>
            </w:r>
            <w:r w:rsidR="00325E51" w:rsidRPr="00756690">
              <w:t>surveillance</w:t>
            </w:r>
            <w:r w:rsidR="009413BE">
              <w:t>)</w:t>
            </w:r>
          </w:p>
        </w:tc>
      </w:tr>
      <w:tr w:rsidR="000E6E1B" w:rsidRPr="00756690" w14:paraId="17457068" w14:textId="77777777" w:rsidTr="00722234">
        <w:trPr>
          <w:cantSplit/>
        </w:trPr>
        <w:tc>
          <w:tcPr>
            <w:tcW w:w="1885" w:type="dxa"/>
            <w:tcBorders>
              <w:top w:val="single" w:sz="4" w:space="0" w:color="auto"/>
              <w:bottom w:val="single" w:sz="4" w:space="0" w:color="auto"/>
            </w:tcBorders>
            <w:shd w:val="clear" w:color="auto" w:fill="auto"/>
          </w:tcPr>
          <w:p w14:paraId="79D6D304" w14:textId="3BA9DAFD" w:rsidR="000E6E1B" w:rsidRPr="00756690" w:rsidRDefault="000E6E1B" w:rsidP="00756690">
            <w:pPr>
              <w:pStyle w:val="TableText0"/>
            </w:pPr>
            <w:r w:rsidRPr="00756690">
              <w:t>Financial m</w:t>
            </w:r>
            <w:r w:rsidR="00AC022D" w:rsidRPr="00756690">
              <w:t>anagemen</w:t>
            </w:r>
            <w:r w:rsidRPr="00756690">
              <w:t>t system</w:t>
            </w:r>
          </w:p>
        </w:tc>
        <w:tc>
          <w:tcPr>
            <w:tcW w:w="2970" w:type="dxa"/>
            <w:tcBorders>
              <w:top w:val="single" w:sz="4" w:space="0" w:color="auto"/>
              <w:bottom w:val="single" w:sz="4" w:space="0" w:color="auto"/>
            </w:tcBorders>
            <w:shd w:val="clear" w:color="auto" w:fill="auto"/>
          </w:tcPr>
          <w:p w14:paraId="2547B2E2" w14:textId="7E4300A6" w:rsidR="000E6E1B" w:rsidRPr="00756690" w:rsidRDefault="000E6E1B" w:rsidP="009413BE">
            <w:pPr>
              <w:pStyle w:val="TableBullet"/>
            </w:pPr>
            <w:r w:rsidRPr="00756690">
              <w:t xml:space="preserve">Finance </w:t>
            </w:r>
            <w:r w:rsidR="009413BE">
              <w:t>r</w:t>
            </w:r>
            <w:r w:rsidRPr="00756690">
              <w:t>eports</w:t>
            </w:r>
          </w:p>
          <w:p w14:paraId="4AA64697" w14:textId="77777777" w:rsidR="000E6E1B" w:rsidRPr="00756690" w:rsidRDefault="000E6E1B" w:rsidP="009413BE">
            <w:pPr>
              <w:pStyle w:val="TableBullet"/>
            </w:pPr>
            <w:r w:rsidRPr="00756690">
              <w:t>Quarterly claim submissions</w:t>
            </w:r>
          </w:p>
        </w:tc>
        <w:tc>
          <w:tcPr>
            <w:tcW w:w="2340" w:type="dxa"/>
            <w:tcBorders>
              <w:top w:val="single" w:sz="4" w:space="0" w:color="auto"/>
              <w:bottom w:val="single" w:sz="4" w:space="0" w:color="auto"/>
            </w:tcBorders>
            <w:shd w:val="clear" w:color="auto" w:fill="auto"/>
          </w:tcPr>
          <w:p w14:paraId="67EEFB6D" w14:textId="77777777" w:rsidR="000E6E1B" w:rsidRPr="00756690" w:rsidRDefault="000E6E1B" w:rsidP="009413BE">
            <w:pPr>
              <w:pStyle w:val="TableBullet"/>
            </w:pPr>
            <w:r w:rsidRPr="00756690">
              <w:t>Budget monitored and met</w:t>
            </w:r>
          </w:p>
          <w:p w14:paraId="56306601" w14:textId="000B5E71" w:rsidR="000E6E1B" w:rsidRPr="00756690" w:rsidRDefault="000E6E1B" w:rsidP="009413BE">
            <w:pPr>
              <w:pStyle w:val="TableBullet"/>
            </w:pPr>
            <w:r w:rsidRPr="00756690">
              <w:t>State</w:t>
            </w:r>
            <w:r w:rsidR="00E90860" w:rsidRPr="00756690">
              <w:t xml:space="preserve"> </w:t>
            </w:r>
            <w:r w:rsidR="00D10805" w:rsidRPr="00756690">
              <w:t>or</w:t>
            </w:r>
            <w:r w:rsidR="00E90860" w:rsidRPr="00756690">
              <w:t xml:space="preserve"> </w:t>
            </w:r>
            <w:r w:rsidR="009330E1" w:rsidRPr="00756690">
              <w:t>t</w:t>
            </w:r>
            <w:r w:rsidRPr="00756690">
              <w:t>erritory receives quarterly payments</w:t>
            </w:r>
          </w:p>
          <w:p w14:paraId="19C6134D" w14:textId="2F1CDFCD" w:rsidR="000E6E1B" w:rsidRPr="00756690" w:rsidRDefault="000E6E1B" w:rsidP="009413BE">
            <w:pPr>
              <w:pStyle w:val="TableBullet"/>
            </w:pPr>
            <w:r w:rsidRPr="00756690">
              <w:t xml:space="preserve">Meet </w:t>
            </w:r>
            <w:r w:rsidR="009413BE">
              <w:t>c</w:t>
            </w:r>
            <w:r w:rsidRPr="00756690">
              <w:t>ost</w:t>
            </w:r>
            <w:r w:rsidR="009413BE">
              <w:t>-</w:t>
            </w:r>
            <w:r w:rsidRPr="00756690">
              <w:t>sharing arrangements</w:t>
            </w:r>
          </w:p>
        </w:tc>
        <w:tc>
          <w:tcPr>
            <w:tcW w:w="1821" w:type="dxa"/>
            <w:tcBorders>
              <w:top w:val="single" w:sz="4" w:space="0" w:color="auto"/>
              <w:bottom w:val="single" w:sz="4" w:space="0" w:color="auto"/>
            </w:tcBorders>
            <w:shd w:val="clear" w:color="auto" w:fill="auto"/>
          </w:tcPr>
          <w:p w14:paraId="45AC82DF" w14:textId="77777777" w:rsidR="000E6E1B" w:rsidRPr="00756690" w:rsidRDefault="000E6E1B" w:rsidP="00756690">
            <w:pPr>
              <w:pStyle w:val="TableText0"/>
            </w:pPr>
            <w:r w:rsidRPr="0045090A">
              <w:t>SCC</w:t>
            </w:r>
            <w:r w:rsidRPr="00756690">
              <w:t xml:space="preserve"> Finance M</w:t>
            </w:r>
            <w:r w:rsidR="009330E1" w:rsidRPr="00756690">
              <w:t>ana</w:t>
            </w:r>
            <w:r w:rsidRPr="00756690">
              <w:t>g</w:t>
            </w:r>
            <w:r w:rsidR="009330E1" w:rsidRPr="00756690">
              <w:t>e</w:t>
            </w:r>
            <w:r w:rsidRPr="00756690">
              <w:t>r</w:t>
            </w:r>
          </w:p>
          <w:p w14:paraId="32523845" w14:textId="47466C06" w:rsidR="00325E51" w:rsidRPr="00756690" w:rsidRDefault="00325E51" w:rsidP="00756690">
            <w:pPr>
              <w:pStyle w:val="TableText0"/>
            </w:pPr>
            <w:r w:rsidRPr="00756690">
              <w:t>Finance</w:t>
            </w:r>
          </w:p>
        </w:tc>
      </w:tr>
      <w:tr w:rsidR="000E6E1B" w:rsidRPr="00756690" w14:paraId="6904CACF" w14:textId="77777777" w:rsidTr="00722234">
        <w:trPr>
          <w:cantSplit/>
        </w:trPr>
        <w:tc>
          <w:tcPr>
            <w:tcW w:w="1885" w:type="dxa"/>
            <w:tcBorders>
              <w:top w:val="single" w:sz="4" w:space="0" w:color="auto"/>
              <w:bottom w:val="single" w:sz="4" w:space="0" w:color="auto"/>
            </w:tcBorders>
            <w:shd w:val="clear" w:color="auto" w:fill="auto"/>
          </w:tcPr>
          <w:p w14:paraId="42A710C9" w14:textId="207F7464" w:rsidR="000E6E1B" w:rsidRPr="00756690" w:rsidRDefault="000E6E1B" w:rsidP="00756690">
            <w:pPr>
              <w:pStyle w:val="TableText0"/>
            </w:pPr>
            <w:r w:rsidRPr="00756690">
              <w:t>GIS and mapping systems</w:t>
            </w:r>
          </w:p>
        </w:tc>
        <w:tc>
          <w:tcPr>
            <w:tcW w:w="2970" w:type="dxa"/>
            <w:tcBorders>
              <w:top w:val="single" w:sz="4" w:space="0" w:color="auto"/>
              <w:bottom w:val="single" w:sz="4" w:space="0" w:color="auto"/>
            </w:tcBorders>
            <w:shd w:val="clear" w:color="auto" w:fill="auto"/>
          </w:tcPr>
          <w:p w14:paraId="1E3BB5D4" w14:textId="77777777" w:rsidR="000E6E1B" w:rsidRPr="00756690" w:rsidRDefault="000E6E1B" w:rsidP="009413BE">
            <w:pPr>
              <w:pStyle w:val="TableBullet"/>
            </w:pPr>
            <w:r w:rsidRPr="00756690">
              <w:t>Maps – strategic, tactical, task</w:t>
            </w:r>
          </w:p>
          <w:p w14:paraId="73BB5271" w14:textId="77777777" w:rsidR="000E6E1B" w:rsidRPr="00756690" w:rsidRDefault="000E6E1B" w:rsidP="009413BE">
            <w:pPr>
              <w:pStyle w:val="TableBullet"/>
            </w:pPr>
            <w:r w:rsidRPr="00756690">
              <w:t>Analysis outputs to inform decision making</w:t>
            </w:r>
          </w:p>
          <w:p w14:paraId="74569D60" w14:textId="77777777" w:rsidR="000E6E1B" w:rsidRPr="00756690" w:rsidRDefault="000E6E1B" w:rsidP="009413BE">
            <w:pPr>
              <w:pStyle w:val="TableBullet"/>
            </w:pPr>
            <w:r w:rsidRPr="00756690">
              <w:t>Reports</w:t>
            </w:r>
          </w:p>
        </w:tc>
        <w:tc>
          <w:tcPr>
            <w:tcW w:w="2340" w:type="dxa"/>
            <w:tcBorders>
              <w:top w:val="single" w:sz="4" w:space="0" w:color="auto"/>
              <w:bottom w:val="single" w:sz="4" w:space="0" w:color="auto"/>
            </w:tcBorders>
            <w:shd w:val="clear" w:color="auto" w:fill="auto"/>
          </w:tcPr>
          <w:p w14:paraId="39E07478" w14:textId="77777777" w:rsidR="000E6E1B" w:rsidRPr="00756690" w:rsidRDefault="000E6E1B" w:rsidP="009413BE">
            <w:pPr>
              <w:pStyle w:val="TableBullet"/>
            </w:pPr>
            <w:r w:rsidRPr="00756690">
              <w:t>Good SSA</w:t>
            </w:r>
          </w:p>
          <w:p w14:paraId="72E0FE86" w14:textId="77777777" w:rsidR="000E6E1B" w:rsidRPr="00756690" w:rsidRDefault="000E6E1B" w:rsidP="009413BE">
            <w:pPr>
              <w:pStyle w:val="TableBullet"/>
            </w:pPr>
            <w:r w:rsidRPr="00756690">
              <w:t>Decision making</w:t>
            </w:r>
          </w:p>
          <w:p w14:paraId="3C916034" w14:textId="0B94FC27" w:rsidR="000E6E1B" w:rsidRPr="00756690" w:rsidRDefault="000E6E1B" w:rsidP="009413BE">
            <w:pPr>
              <w:pStyle w:val="TableBullet"/>
            </w:pPr>
            <w:r w:rsidRPr="00756690">
              <w:t xml:space="preserve">Stakeholder </w:t>
            </w:r>
            <w:r w:rsidR="00917CB6" w:rsidRPr="00756690">
              <w:t>management</w:t>
            </w:r>
          </w:p>
          <w:p w14:paraId="302478BE" w14:textId="77777777" w:rsidR="000E6E1B" w:rsidRPr="00756690" w:rsidRDefault="000E6E1B" w:rsidP="009413BE">
            <w:pPr>
              <w:pStyle w:val="TableBullet"/>
            </w:pPr>
            <w:r w:rsidRPr="00756690">
              <w:t>Response knows what it should know</w:t>
            </w:r>
          </w:p>
        </w:tc>
        <w:tc>
          <w:tcPr>
            <w:tcW w:w="1821" w:type="dxa"/>
            <w:tcBorders>
              <w:top w:val="single" w:sz="4" w:space="0" w:color="auto"/>
              <w:bottom w:val="single" w:sz="4" w:space="0" w:color="auto"/>
            </w:tcBorders>
            <w:shd w:val="clear" w:color="auto" w:fill="auto"/>
          </w:tcPr>
          <w:p w14:paraId="046D3CA5" w14:textId="694DC5BF" w:rsidR="000E6E1B" w:rsidRPr="00756690" w:rsidRDefault="000E6E1B" w:rsidP="00756690">
            <w:pPr>
              <w:pStyle w:val="TableText0"/>
            </w:pPr>
            <w:r w:rsidRPr="00756690">
              <w:t>GIS/Mapping/</w:t>
            </w:r>
            <w:r w:rsidR="009413BE">
              <w:br/>
            </w:r>
            <w:r w:rsidRPr="00756690">
              <w:t>Information M</w:t>
            </w:r>
            <w:r w:rsidR="009330E1" w:rsidRPr="00756690">
              <w:t>ana</w:t>
            </w:r>
            <w:r w:rsidRPr="00756690">
              <w:t>g</w:t>
            </w:r>
            <w:r w:rsidR="009330E1" w:rsidRPr="00756690">
              <w:t>e</w:t>
            </w:r>
            <w:r w:rsidRPr="00756690">
              <w:t>r</w:t>
            </w:r>
          </w:p>
          <w:p w14:paraId="5B01A431" w14:textId="2B94D782" w:rsidR="00325E51" w:rsidRPr="00756690" w:rsidRDefault="00325E51" w:rsidP="00756690">
            <w:pPr>
              <w:pStyle w:val="TableText0"/>
            </w:pPr>
            <w:r w:rsidRPr="00756690">
              <w:t>Planning</w:t>
            </w:r>
          </w:p>
        </w:tc>
      </w:tr>
      <w:tr w:rsidR="000E6E1B" w:rsidRPr="00756690" w14:paraId="69F81035" w14:textId="77777777" w:rsidTr="00722234">
        <w:trPr>
          <w:cantSplit/>
        </w:trPr>
        <w:tc>
          <w:tcPr>
            <w:tcW w:w="1885" w:type="dxa"/>
            <w:tcBorders>
              <w:top w:val="single" w:sz="4" w:space="0" w:color="auto"/>
              <w:bottom w:val="single" w:sz="4" w:space="0" w:color="auto"/>
            </w:tcBorders>
            <w:shd w:val="clear" w:color="auto" w:fill="auto"/>
          </w:tcPr>
          <w:p w14:paraId="3646D165" w14:textId="67A81204" w:rsidR="000E6E1B" w:rsidRPr="00756690" w:rsidRDefault="000E6E1B" w:rsidP="00756690">
            <w:pPr>
              <w:pStyle w:val="TableText0"/>
            </w:pPr>
            <w:r w:rsidRPr="00756690">
              <w:t>Hazardous address register</w:t>
            </w:r>
          </w:p>
        </w:tc>
        <w:tc>
          <w:tcPr>
            <w:tcW w:w="2970" w:type="dxa"/>
            <w:tcBorders>
              <w:top w:val="single" w:sz="4" w:space="0" w:color="auto"/>
              <w:bottom w:val="single" w:sz="4" w:space="0" w:color="auto"/>
            </w:tcBorders>
            <w:shd w:val="clear" w:color="auto" w:fill="auto"/>
          </w:tcPr>
          <w:p w14:paraId="55DBD24D" w14:textId="77777777" w:rsidR="000E6E1B" w:rsidRPr="00756690" w:rsidRDefault="000E6E1B" w:rsidP="009413BE">
            <w:pPr>
              <w:pStyle w:val="TableBullet"/>
            </w:pPr>
            <w:r w:rsidRPr="00756690">
              <w:t xml:space="preserve">List showing all cases that are assessed as presenting a risk </w:t>
            </w:r>
          </w:p>
          <w:p w14:paraId="6D1FC02B" w14:textId="5ED4F14C" w:rsidR="000E6E1B" w:rsidRPr="00756690" w:rsidRDefault="000E6E1B" w:rsidP="009413BE">
            <w:pPr>
              <w:pStyle w:val="TableBullet"/>
            </w:pPr>
            <w:r w:rsidRPr="00756690">
              <w:t>Procedures supporting m</w:t>
            </w:r>
            <w:r w:rsidR="00BF3414" w:rsidRPr="00756690">
              <w:t>ana</w:t>
            </w:r>
            <w:r w:rsidRPr="00756690">
              <w:t>g</w:t>
            </w:r>
            <w:r w:rsidR="00BF3414" w:rsidRPr="00756690">
              <w:t>emen</w:t>
            </w:r>
            <w:r w:rsidRPr="00756690">
              <w:t>t of hazardous cases</w:t>
            </w:r>
          </w:p>
          <w:p w14:paraId="761C168C" w14:textId="77777777" w:rsidR="000E6E1B" w:rsidRPr="00756690" w:rsidRDefault="000E6E1B" w:rsidP="009413BE">
            <w:pPr>
              <w:pStyle w:val="TableBullet"/>
            </w:pPr>
            <w:r w:rsidRPr="00756690">
              <w:t>Definition of hazardous address</w:t>
            </w:r>
          </w:p>
          <w:p w14:paraId="2E99EC7A" w14:textId="77777777" w:rsidR="000E6E1B" w:rsidRPr="00756690" w:rsidRDefault="000E6E1B" w:rsidP="009413BE">
            <w:pPr>
              <w:pStyle w:val="TableBullet"/>
            </w:pPr>
            <w:r w:rsidRPr="00756690">
              <w:t>Risk assessment</w:t>
            </w:r>
          </w:p>
        </w:tc>
        <w:tc>
          <w:tcPr>
            <w:tcW w:w="2340" w:type="dxa"/>
            <w:tcBorders>
              <w:top w:val="single" w:sz="4" w:space="0" w:color="auto"/>
              <w:bottom w:val="single" w:sz="4" w:space="0" w:color="auto"/>
            </w:tcBorders>
            <w:shd w:val="clear" w:color="auto" w:fill="auto"/>
          </w:tcPr>
          <w:p w14:paraId="6211C249" w14:textId="77777777" w:rsidR="000E6E1B" w:rsidRPr="00756690" w:rsidRDefault="000E6E1B" w:rsidP="009413BE">
            <w:pPr>
              <w:pStyle w:val="TableBullet"/>
            </w:pPr>
            <w:r w:rsidRPr="00756690">
              <w:t>Field and telephone personnel are not subject to risks associated with hazardous cases</w:t>
            </w:r>
          </w:p>
          <w:p w14:paraId="5E574CAD" w14:textId="77777777" w:rsidR="000E6E1B" w:rsidRPr="00756690" w:rsidRDefault="000E6E1B" w:rsidP="009413BE">
            <w:pPr>
              <w:pStyle w:val="TableBullet"/>
            </w:pPr>
            <w:r w:rsidRPr="00756690">
              <w:t>WHS</w:t>
            </w:r>
          </w:p>
          <w:p w14:paraId="562560BD" w14:textId="77777777" w:rsidR="000E6E1B" w:rsidRPr="00756690" w:rsidRDefault="000E6E1B" w:rsidP="009413BE">
            <w:pPr>
              <w:pStyle w:val="TableBullet"/>
            </w:pPr>
            <w:r w:rsidRPr="00756690">
              <w:t>Stakeholder management</w:t>
            </w:r>
          </w:p>
          <w:p w14:paraId="72FD0EF8" w14:textId="77777777" w:rsidR="000E6E1B" w:rsidRPr="00756690" w:rsidRDefault="000E6E1B" w:rsidP="009413BE">
            <w:pPr>
              <w:pStyle w:val="TableBullet"/>
            </w:pPr>
            <w:r w:rsidRPr="00756690">
              <w:t>Legal risk management</w:t>
            </w:r>
          </w:p>
        </w:tc>
        <w:tc>
          <w:tcPr>
            <w:tcW w:w="1821" w:type="dxa"/>
            <w:tcBorders>
              <w:top w:val="single" w:sz="4" w:space="0" w:color="auto"/>
              <w:bottom w:val="single" w:sz="4" w:space="0" w:color="auto"/>
            </w:tcBorders>
            <w:shd w:val="clear" w:color="auto" w:fill="auto"/>
          </w:tcPr>
          <w:p w14:paraId="7B5183D6" w14:textId="35C8174B" w:rsidR="000E6E1B" w:rsidRPr="00756690" w:rsidRDefault="000E6E1B" w:rsidP="00756690">
            <w:pPr>
              <w:pStyle w:val="TableText0"/>
            </w:pPr>
            <w:r w:rsidRPr="00756690">
              <w:t>Operations</w:t>
            </w:r>
          </w:p>
          <w:p w14:paraId="013BB0BE" w14:textId="77777777" w:rsidR="000E6E1B" w:rsidRPr="00756690" w:rsidRDefault="000E6E1B" w:rsidP="00756690">
            <w:pPr>
              <w:pStyle w:val="TableText0"/>
            </w:pPr>
            <w:r w:rsidRPr="00756690">
              <w:t>Planning – policy and procedures</w:t>
            </w:r>
          </w:p>
        </w:tc>
      </w:tr>
      <w:tr w:rsidR="000E6E1B" w:rsidRPr="00756690" w14:paraId="07228231" w14:textId="77777777" w:rsidTr="00722234">
        <w:trPr>
          <w:cantSplit/>
        </w:trPr>
        <w:tc>
          <w:tcPr>
            <w:tcW w:w="1885" w:type="dxa"/>
            <w:tcBorders>
              <w:top w:val="single" w:sz="4" w:space="0" w:color="auto"/>
              <w:bottom w:val="single" w:sz="4" w:space="0" w:color="auto"/>
            </w:tcBorders>
            <w:shd w:val="clear" w:color="auto" w:fill="auto"/>
          </w:tcPr>
          <w:p w14:paraId="5511A2C5" w14:textId="214153D3" w:rsidR="000E6E1B" w:rsidRPr="00756690" w:rsidRDefault="000E6E1B" w:rsidP="00756690">
            <w:pPr>
              <w:pStyle w:val="TableText0"/>
            </w:pPr>
            <w:r w:rsidRPr="00756690">
              <w:t>H</w:t>
            </w:r>
            <w:r w:rsidR="00001334" w:rsidRPr="00756690">
              <w:t xml:space="preserve">uman </w:t>
            </w:r>
            <w:r w:rsidR="009413BE">
              <w:t>r</w:t>
            </w:r>
            <w:r w:rsidR="00001334" w:rsidRPr="00756690">
              <w:t>esources</w:t>
            </w:r>
            <w:r w:rsidRPr="00756690">
              <w:t xml:space="preserve"> records</w:t>
            </w:r>
          </w:p>
        </w:tc>
        <w:tc>
          <w:tcPr>
            <w:tcW w:w="2970" w:type="dxa"/>
            <w:tcBorders>
              <w:top w:val="single" w:sz="4" w:space="0" w:color="auto"/>
              <w:bottom w:val="single" w:sz="4" w:space="0" w:color="auto"/>
            </w:tcBorders>
            <w:shd w:val="clear" w:color="auto" w:fill="auto"/>
          </w:tcPr>
          <w:p w14:paraId="209E3536" w14:textId="77777777" w:rsidR="000E6E1B" w:rsidRPr="00756690" w:rsidRDefault="000E6E1B" w:rsidP="009413BE">
            <w:pPr>
              <w:pStyle w:val="TableBullet"/>
            </w:pPr>
            <w:r w:rsidRPr="00756690">
              <w:t>Policy</w:t>
            </w:r>
          </w:p>
          <w:p w14:paraId="706C23B1" w14:textId="77777777" w:rsidR="000E6E1B" w:rsidRPr="00756690" w:rsidRDefault="000E6E1B" w:rsidP="009413BE">
            <w:pPr>
              <w:pStyle w:val="TableBullet"/>
            </w:pPr>
            <w:r w:rsidRPr="00756690">
              <w:t>Procedures</w:t>
            </w:r>
          </w:p>
          <w:p w14:paraId="7FA23DA6" w14:textId="11044417" w:rsidR="000E6E1B" w:rsidRPr="00756690" w:rsidRDefault="000E6E1B" w:rsidP="009413BE">
            <w:pPr>
              <w:pStyle w:val="TableBullet"/>
            </w:pPr>
            <w:r w:rsidRPr="00756690">
              <w:t>Individual case file for each person</w:t>
            </w:r>
            <w:r w:rsidR="009413BE">
              <w:t>,</w:t>
            </w:r>
            <w:r w:rsidRPr="00756690">
              <w:t xml:space="preserve"> incl</w:t>
            </w:r>
            <w:r w:rsidR="00AC022D" w:rsidRPr="00756690">
              <w:t>uding</w:t>
            </w:r>
            <w:r w:rsidRPr="00756690">
              <w:t xml:space="preserve"> medical information</w:t>
            </w:r>
          </w:p>
          <w:p w14:paraId="0E240F5B" w14:textId="77777777" w:rsidR="000E6E1B" w:rsidRPr="00756690" w:rsidRDefault="000E6E1B" w:rsidP="009413BE">
            <w:pPr>
              <w:pStyle w:val="TableBullet"/>
            </w:pPr>
            <w:r w:rsidRPr="00756690">
              <w:t>Collated records for all personnel</w:t>
            </w:r>
          </w:p>
          <w:p w14:paraId="186DC7E3" w14:textId="62397C6C" w:rsidR="000E6E1B" w:rsidRPr="00756690" w:rsidRDefault="000E6E1B" w:rsidP="009413BE">
            <w:pPr>
              <w:pStyle w:val="TableBullet"/>
            </w:pPr>
            <w:r w:rsidRPr="00756690">
              <w:t xml:space="preserve">See </w:t>
            </w:r>
            <w:r w:rsidR="00ED5CB8">
              <w:t>‘</w:t>
            </w:r>
            <w:r w:rsidRPr="00756690">
              <w:t>Induction</w:t>
            </w:r>
            <w:r w:rsidR="00ED5CB8">
              <w:t>’</w:t>
            </w:r>
            <w:r w:rsidRPr="00756690">
              <w:t xml:space="preserve"> </w:t>
            </w:r>
          </w:p>
          <w:p w14:paraId="469A2149" w14:textId="77777777" w:rsidR="000E6E1B" w:rsidRPr="00756690" w:rsidRDefault="000E6E1B" w:rsidP="00756690">
            <w:pPr>
              <w:pStyle w:val="TableText0"/>
            </w:pPr>
          </w:p>
        </w:tc>
        <w:tc>
          <w:tcPr>
            <w:tcW w:w="2340" w:type="dxa"/>
            <w:tcBorders>
              <w:top w:val="single" w:sz="4" w:space="0" w:color="auto"/>
              <w:bottom w:val="single" w:sz="4" w:space="0" w:color="auto"/>
            </w:tcBorders>
            <w:shd w:val="clear" w:color="auto" w:fill="auto"/>
          </w:tcPr>
          <w:p w14:paraId="21FBD4D9" w14:textId="526732F8" w:rsidR="000E6E1B" w:rsidRPr="00756690" w:rsidRDefault="000E6E1B" w:rsidP="00ED5CB8">
            <w:pPr>
              <w:pStyle w:val="TableBullet"/>
            </w:pPr>
            <w:r w:rsidRPr="00756690">
              <w:t xml:space="preserve">Responses knows what it </w:t>
            </w:r>
            <w:r w:rsidR="00ED5CB8">
              <w:t xml:space="preserve">should </w:t>
            </w:r>
            <w:r w:rsidRPr="00756690">
              <w:t>know for each person</w:t>
            </w:r>
          </w:p>
          <w:p w14:paraId="55214ED0" w14:textId="77777777" w:rsidR="000E6E1B" w:rsidRPr="00756690" w:rsidRDefault="000E6E1B" w:rsidP="00ED5CB8">
            <w:pPr>
              <w:pStyle w:val="TableBullet"/>
            </w:pPr>
            <w:r w:rsidRPr="00756690">
              <w:t>Right person in right role at right time</w:t>
            </w:r>
          </w:p>
          <w:p w14:paraId="79D9746D" w14:textId="61417DE0" w:rsidR="000E6E1B" w:rsidRPr="00756690" w:rsidRDefault="000E6E1B" w:rsidP="00ED5CB8">
            <w:pPr>
              <w:pStyle w:val="TableBullet"/>
            </w:pPr>
            <w:r w:rsidRPr="00756690">
              <w:t>Information for emergency contacts readily available</w:t>
            </w:r>
            <w:r w:rsidR="00ED5CB8">
              <w:t>,</w:t>
            </w:r>
            <w:r w:rsidRPr="00756690">
              <w:t xml:space="preserve"> incl</w:t>
            </w:r>
            <w:r w:rsidR="00BF3414" w:rsidRPr="00756690">
              <w:t>uding</w:t>
            </w:r>
            <w:r w:rsidRPr="00756690">
              <w:t xml:space="preserve"> </w:t>
            </w:r>
            <w:r w:rsidR="00ED5CB8">
              <w:t>n</w:t>
            </w:r>
            <w:r w:rsidR="00917CB6" w:rsidRPr="00756690">
              <w:t xml:space="preserve">ext of </w:t>
            </w:r>
            <w:r w:rsidR="00ED5CB8">
              <w:t>k</w:t>
            </w:r>
            <w:r w:rsidR="00917CB6" w:rsidRPr="00756690">
              <w:t>in</w:t>
            </w:r>
          </w:p>
          <w:p w14:paraId="265464E6" w14:textId="2886D471" w:rsidR="000E6E1B" w:rsidRPr="00756690" w:rsidRDefault="000E6E1B" w:rsidP="00ED5CB8">
            <w:pPr>
              <w:pStyle w:val="TableBullet"/>
            </w:pPr>
            <w:r w:rsidRPr="00756690">
              <w:t xml:space="preserve">Compliance with </w:t>
            </w:r>
            <w:r w:rsidR="00ED5CB8">
              <w:t>p</w:t>
            </w:r>
            <w:r w:rsidRPr="00756690">
              <w:t>olicy</w:t>
            </w:r>
          </w:p>
          <w:p w14:paraId="0EAF833B" w14:textId="26CB5EC0" w:rsidR="000E6E1B" w:rsidRPr="00756690" w:rsidRDefault="000E6E1B" w:rsidP="00ED5CB8">
            <w:pPr>
              <w:pStyle w:val="TableBullet"/>
            </w:pPr>
            <w:r w:rsidRPr="00756690">
              <w:t>Legal risk m</w:t>
            </w:r>
            <w:r w:rsidR="00BF3414" w:rsidRPr="00756690">
              <w:t>ana</w:t>
            </w:r>
            <w:r w:rsidRPr="00756690">
              <w:t>g</w:t>
            </w:r>
            <w:r w:rsidR="00BF3414" w:rsidRPr="00756690">
              <w:t>emen</w:t>
            </w:r>
            <w:r w:rsidRPr="00756690">
              <w:t>t</w:t>
            </w:r>
          </w:p>
        </w:tc>
        <w:tc>
          <w:tcPr>
            <w:tcW w:w="1821" w:type="dxa"/>
            <w:tcBorders>
              <w:top w:val="single" w:sz="4" w:space="0" w:color="auto"/>
              <w:bottom w:val="single" w:sz="4" w:space="0" w:color="auto"/>
            </w:tcBorders>
            <w:shd w:val="clear" w:color="auto" w:fill="auto"/>
          </w:tcPr>
          <w:p w14:paraId="3C0BD263" w14:textId="5790B343" w:rsidR="000E6E1B" w:rsidRPr="00756690" w:rsidRDefault="000E6E1B" w:rsidP="00756690">
            <w:pPr>
              <w:pStyle w:val="TableText0"/>
            </w:pPr>
            <w:r w:rsidRPr="00756690">
              <w:t>Staff Officer</w:t>
            </w:r>
          </w:p>
          <w:p w14:paraId="42EAB18B" w14:textId="77777777" w:rsidR="00A63597" w:rsidRPr="00756690" w:rsidRDefault="00A63597" w:rsidP="00756690">
            <w:pPr>
              <w:pStyle w:val="TableText0"/>
            </w:pPr>
            <w:r w:rsidRPr="00756690">
              <w:t>Human Resources Officer</w:t>
            </w:r>
          </w:p>
          <w:p w14:paraId="7CC75C07" w14:textId="1C696F1E" w:rsidR="00325E51" w:rsidRPr="00756690" w:rsidRDefault="00325E51" w:rsidP="00756690">
            <w:pPr>
              <w:pStyle w:val="TableText0"/>
            </w:pPr>
            <w:r w:rsidRPr="00756690">
              <w:t>Logistics</w:t>
            </w:r>
          </w:p>
        </w:tc>
      </w:tr>
      <w:tr w:rsidR="000E6E1B" w:rsidRPr="00756690" w14:paraId="5CFD4C75" w14:textId="77777777" w:rsidTr="00722234">
        <w:trPr>
          <w:cantSplit/>
        </w:trPr>
        <w:tc>
          <w:tcPr>
            <w:tcW w:w="1885" w:type="dxa"/>
            <w:tcBorders>
              <w:top w:val="single" w:sz="4" w:space="0" w:color="auto"/>
              <w:bottom w:val="single" w:sz="4" w:space="0" w:color="auto"/>
            </w:tcBorders>
            <w:shd w:val="clear" w:color="auto" w:fill="auto"/>
          </w:tcPr>
          <w:p w14:paraId="7B365BEE" w14:textId="7DD44947" w:rsidR="000E6E1B" w:rsidRPr="00756690" w:rsidRDefault="00ED5CB8" w:rsidP="00756690">
            <w:pPr>
              <w:pStyle w:val="TableText0"/>
            </w:pPr>
            <w:r>
              <w:t>I</w:t>
            </w:r>
            <w:r w:rsidR="000E6E1B" w:rsidRPr="00756690">
              <w:t xml:space="preserve">nformation </w:t>
            </w:r>
            <w:r>
              <w:t>m</w:t>
            </w:r>
            <w:r w:rsidR="00AC022D" w:rsidRPr="00756690">
              <w:t>ana</w:t>
            </w:r>
            <w:r w:rsidR="000E6E1B" w:rsidRPr="00756690">
              <w:t>g</w:t>
            </w:r>
            <w:r w:rsidR="00AC022D" w:rsidRPr="00756690">
              <w:t>emen</w:t>
            </w:r>
            <w:r w:rsidR="000E6E1B" w:rsidRPr="00756690">
              <w:t>t</w:t>
            </w:r>
          </w:p>
        </w:tc>
        <w:tc>
          <w:tcPr>
            <w:tcW w:w="2970" w:type="dxa"/>
            <w:tcBorders>
              <w:top w:val="single" w:sz="4" w:space="0" w:color="auto"/>
              <w:bottom w:val="single" w:sz="4" w:space="0" w:color="auto"/>
            </w:tcBorders>
            <w:shd w:val="clear" w:color="auto" w:fill="auto"/>
          </w:tcPr>
          <w:p w14:paraId="77E40C66" w14:textId="2DC0A46E" w:rsidR="000E6E1B" w:rsidRPr="00756690" w:rsidRDefault="000E6E1B" w:rsidP="00ED5CB8">
            <w:pPr>
              <w:pStyle w:val="TableBullet"/>
            </w:pPr>
            <w:r w:rsidRPr="00756690">
              <w:t xml:space="preserve">As for </w:t>
            </w:r>
            <w:r w:rsidR="00762A8B">
              <w:t>‘</w:t>
            </w:r>
            <w:r w:rsidRPr="00756690">
              <w:t xml:space="preserve">Records </w:t>
            </w:r>
            <w:r w:rsidR="00ED5CB8">
              <w:t>m</w:t>
            </w:r>
            <w:r w:rsidR="00AC022D" w:rsidRPr="00756690">
              <w:t>anagemen</w:t>
            </w:r>
            <w:r w:rsidRPr="00756690">
              <w:t>t</w:t>
            </w:r>
            <w:r w:rsidR="00762A8B">
              <w:t>’</w:t>
            </w:r>
          </w:p>
        </w:tc>
        <w:tc>
          <w:tcPr>
            <w:tcW w:w="2340" w:type="dxa"/>
            <w:tcBorders>
              <w:top w:val="single" w:sz="4" w:space="0" w:color="auto"/>
              <w:bottom w:val="single" w:sz="4" w:space="0" w:color="auto"/>
            </w:tcBorders>
            <w:shd w:val="clear" w:color="auto" w:fill="auto"/>
          </w:tcPr>
          <w:p w14:paraId="02BCA75C" w14:textId="77777777" w:rsidR="000E6E1B" w:rsidRPr="00756690" w:rsidRDefault="000E6E1B" w:rsidP="00756690">
            <w:pPr>
              <w:pStyle w:val="TableText0"/>
            </w:pPr>
            <w:r w:rsidRPr="00756690">
              <w:t> </w:t>
            </w:r>
          </w:p>
        </w:tc>
        <w:tc>
          <w:tcPr>
            <w:tcW w:w="1821" w:type="dxa"/>
            <w:tcBorders>
              <w:top w:val="single" w:sz="4" w:space="0" w:color="auto"/>
              <w:bottom w:val="single" w:sz="4" w:space="0" w:color="auto"/>
            </w:tcBorders>
            <w:shd w:val="clear" w:color="auto" w:fill="auto"/>
          </w:tcPr>
          <w:p w14:paraId="1A6D231B" w14:textId="70B8699E" w:rsidR="000E6E1B" w:rsidRPr="00756690" w:rsidRDefault="000E6E1B" w:rsidP="00756690">
            <w:pPr>
              <w:pStyle w:val="TableText0"/>
            </w:pPr>
            <w:r w:rsidRPr="00756690">
              <w:t>M</w:t>
            </w:r>
            <w:r w:rsidR="00AC022D" w:rsidRPr="00756690">
              <w:t>ana</w:t>
            </w:r>
            <w:r w:rsidRPr="00756690">
              <w:t>g</w:t>
            </w:r>
            <w:r w:rsidR="00AC022D" w:rsidRPr="00756690">
              <w:t>emen</w:t>
            </w:r>
            <w:r w:rsidRPr="00756690">
              <w:t xml:space="preserve">t </w:t>
            </w:r>
            <w:r w:rsidR="00F62AAA">
              <w:t>s</w:t>
            </w:r>
            <w:r w:rsidRPr="00756690">
              <w:t>upport</w:t>
            </w:r>
          </w:p>
          <w:p w14:paraId="67E87C81" w14:textId="77777777" w:rsidR="000E6E1B" w:rsidRPr="00756690" w:rsidRDefault="000E6E1B" w:rsidP="00756690">
            <w:pPr>
              <w:pStyle w:val="TableText0"/>
            </w:pPr>
            <w:r w:rsidRPr="00756690">
              <w:t>Every officer</w:t>
            </w:r>
          </w:p>
        </w:tc>
      </w:tr>
      <w:tr w:rsidR="000E6E1B" w:rsidRPr="00756690" w14:paraId="088AE3A1" w14:textId="77777777" w:rsidTr="00722234">
        <w:trPr>
          <w:cantSplit/>
        </w:trPr>
        <w:tc>
          <w:tcPr>
            <w:tcW w:w="1885" w:type="dxa"/>
            <w:tcBorders>
              <w:top w:val="single" w:sz="4" w:space="0" w:color="auto"/>
              <w:bottom w:val="single" w:sz="4" w:space="0" w:color="auto"/>
            </w:tcBorders>
            <w:shd w:val="clear" w:color="auto" w:fill="auto"/>
          </w:tcPr>
          <w:p w14:paraId="347A904A" w14:textId="61F383A0" w:rsidR="000E6E1B" w:rsidRPr="00756690" w:rsidRDefault="000E6E1B" w:rsidP="00756690">
            <w:pPr>
              <w:pStyle w:val="TableText0"/>
            </w:pPr>
            <w:r w:rsidRPr="00756690">
              <w:t> Induction</w:t>
            </w:r>
          </w:p>
        </w:tc>
        <w:tc>
          <w:tcPr>
            <w:tcW w:w="2970" w:type="dxa"/>
            <w:tcBorders>
              <w:top w:val="single" w:sz="4" w:space="0" w:color="auto"/>
              <w:bottom w:val="single" w:sz="4" w:space="0" w:color="auto"/>
            </w:tcBorders>
            <w:shd w:val="clear" w:color="auto" w:fill="auto"/>
          </w:tcPr>
          <w:p w14:paraId="5CFE4152" w14:textId="77777777" w:rsidR="000E6E1B" w:rsidRPr="00756690" w:rsidRDefault="000E6E1B" w:rsidP="00ED5CB8">
            <w:pPr>
              <w:pStyle w:val="TableBullet"/>
            </w:pPr>
            <w:r w:rsidRPr="00756690">
              <w:t>Site entry advice for each person</w:t>
            </w:r>
          </w:p>
          <w:p w14:paraId="211CC9D9" w14:textId="77777777" w:rsidR="000E6E1B" w:rsidRPr="00756690" w:rsidRDefault="000E6E1B" w:rsidP="00ED5CB8">
            <w:pPr>
              <w:pStyle w:val="TableBullet"/>
            </w:pPr>
            <w:r w:rsidRPr="00756690">
              <w:t>Induction presentation and package – response and role</w:t>
            </w:r>
          </w:p>
          <w:p w14:paraId="68784240" w14:textId="560D7B72" w:rsidR="000E6E1B" w:rsidRPr="00756690" w:rsidRDefault="000E6E1B" w:rsidP="00ED5CB8">
            <w:pPr>
              <w:pStyle w:val="TableBullet"/>
            </w:pPr>
            <w:r w:rsidRPr="00756690">
              <w:t xml:space="preserve">Information on each person collected and collated </w:t>
            </w:r>
            <w:r w:rsidR="00ED5CB8">
              <w:t>in</w:t>
            </w:r>
            <w:r w:rsidRPr="00756690">
              <w:t xml:space="preserve"> personnel system</w:t>
            </w:r>
          </w:p>
          <w:p w14:paraId="689288D5" w14:textId="77777777" w:rsidR="000E6E1B" w:rsidRPr="00756690" w:rsidRDefault="000E6E1B" w:rsidP="00ED5CB8">
            <w:pPr>
              <w:pStyle w:val="TableBullet"/>
            </w:pPr>
            <w:r w:rsidRPr="00756690">
              <w:t>ID issued for each person</w:t>
            </w:r>
          </w:p>
          <w:p w14:paraId="6635D386" w14:textId="3421E3C1" w:rsidR="000E6E1B" w:rsidRPr="00756690" w:rsidRDefault="000E6E1B" w:rsidP="00756690">
            <w:pPr>
              <w:pStyle w:val="TableBullet"/>
            </w:pPr>
            <w:r w:rsidRPr="00756690">
              <w:t>Authority in place for each person in a role</w:t>
            </w:r>
          </w:p>
        </w:tc>
        <w:tc>
          <w:tcPr>
            <w:tcW w:w="2340" w:type="dxa"/>
            <w:tcBorders>
              <w:top w:val="single" w:sz="4" w:space="0" w:color="auto"/>
              <w:bottom w:val="single" w:sz="4" w:space="0" w:color="auto"/>
            </w:tcBorders>
            <w:shd w:val="clear" w:color="auto" w:fill="auto"/>
          </w:tcPr>
          <w:p w14:paraId="3A00AB8C" w14:textId="132B3709" w:rsidR="000E6E1B" w:rsidRPr="00756690" w:rsidRDefault="000E6E1B" w:rsidP="00ED5CB8">
            <w:pPr>
              <w:pStyle w:val="TableBullet"/>
            </w:pPr>
            <w:r w:rsidRPr="00756690">
              <w:t>Incoming and returning personnel have response</w:t>
            </w:r>
            <w:r w:rsidR="00ED5CB8">
              <w:t>-</w:t>
            </w:r>
            <w:r w:rsidRPr="00756690">
              <w:t>relevant SSA</w:t>
            </w:r>
          </w:p>
          <w:p w14:paraId="46C1FAF7" w14:textId="0518DF18" w:rsidR="000E6E1B" w:rsidRPr="00756690" w:rsidRDefault="000E6E1B" w:rsidP="00ED5CB8">
            <w:pPr>
              <w:pStyle w:val="TableBullet"/>
            </w:pPr>
            <w:r w:rsidRPr="00756690">
              <w:t>Smooth integration of personnel in</w:t>
            </w:r>
            <w:r w:rsidR="00E90860" w:rsidRPr="00756690">
              <w:t>t</w:t>
            </w:r>
            <w:r w:rsidRPr="00756690">
              <w:t>o response/role</w:t>
            </w:r>
          </w:p>
          <w:p w14:paraId="1AC5BF28" w14:textId="77777777" w:rsidR="000E6E1B" w:rsidRPr="00756690" w:rsidRDefault="000E6E1B" w:rsidP="00ED5CB8">
            <w:pPr>
              <w:pStyle w:val="TableBullet"/>
            </w:pPr>
            <w:r w:rsidRPr="00756690">
              <w:t xml:space="preserve">Compliance with legal requirements </w:t>
            </w:r>
          </w:p>
        </w:tc>
        <w:tc>
          <w:tcPr>
            <w:tcW w:w="1821" w:type="dxa"/>
            <w:tcBorders>
              <w:top w:val="single" w:sz="4" w:space="0" w:color="auto"/>
              <w:bottom w:val="single" w:sz="4" w:space="0" w:color="auto"/>
            </w:tcBorders>
            <w:shd w:val="clear" w:color="auto" w:fill="auto"/>
          </w:tcPr>
          <w:p w14:paraId="75AF57F7" w14:textId="26334C80" w:rsidR="000E6E1B" w:rsidRPr="00756690" w:rsidRDefault="000E6E1B" w:rsidP="00756690">
            <w:pPr>
              <w:pStyle w:val="TableText0"/>
            </w:pPr>
            <w:r w:rsidRPr="00756690">
              <w:t>Induction Officer</w:t>
            </w:r>
          </w:p>
          <w:p w14:paraId="3ECE39C4" w14:textId="023AFAB5" w:rsidR="00325E51" w:rsidRPr="00756690" w:rsidRDefault="00325E51" w:rsidP="00756690">
            <w:pPr>
              <w:pStyle w:val="TableText0"/>
            </w:pPr>
            <w:r w:rsidRPr="00756690">
              <w:t>Logistics</w:t>
            </w:r>
          </w:p>
        </w:tc>
      </w:tr>
      <w:tr w:rsidR="000E6E1B" w:rsidRPr="00756690" w14:paraId="1DC96131" w14:textId="77777777" w:rsidTr="00722234">
        <w:trPr>
          <w:cantSplit/>
        </w:trPr>
        <w:tc>
          <w:tcPr>
            <w:tcW w:w="1885" w:type="dxa"/>
            <w:tcBorders>
              <w:top w:val="single" w:sz="4" w:space="0" w:color="auto"/>
              <w:bottom w:val="single" w:sz="4" w:space="0" w:color="auto"/>
            </w:tcBorders>
            <w:shd w:val="clear" w:color="auto" w:fill="auto"/>
          </w:tcPr>
          <w:p w14:paraId="0DA113B6" w14:textId="52879047" w:rsidR="000E6E1B" w:rsidRPr="00756690" w:rsidRDefault="000E6E1B" w:rsidP="00756690">
            <w:pPr>
              <w:pStyle w:val="TableText0"/>
            </w:pPr>
            <w:r w:rsidRPr="00756690">
              <w:t xml:space="preserve">Legal </w:t>
            </w:r>
            <w:r w:rsidR="00ED5CB8">
              <w:t>i</w:t>
            </w:r>
            <w:r w:rsidRPr="00756690">
              <w:t xml:space="preserve">nformation </w:t>
            </w:r>
            <w:r w:rsidR="00ED5CB8">
              <w:t>m</w:t>
            </w:r>
            <w:r w:rsidR="00AC022D" w:rsidRPr="00756690">
              <w:t>anagement</w:t>
            </w:r>
          </w:p>
        </w:tc>
        <w:tc>
          <w:tcPr>
            <w:tcW w:w="2970" w:type="dxa"/>
            <w:tcBorders>
              <w:top w:val="single" w:sz="4" w:space="0" w:color="auto"/>
              <w:bottom w:val="single" w:sz="4" w:space="0" w:color="auto"/>
            </w:tcBorders>
            <w:shd w:val="clear" w:color="auto" w:fill="auto"/>
          </w:tcPr>
          <w:p w14:paraId="777DEDA1" w14:textId="77777777" w:rsidR="000E6E1B" w:rsidRPr="00756690" w:rsidRDefault="000E6E1B" w:rsidP="00ED5CB8">
            <w:pPr>
              <w:pStyle w:val="TableBullet"/>
            </w:pPr>
            <w:r w:rsidRPr="00756690">
              <w:t>Legal advice</w:t>
            </w:r>
          </w:p>
          <w:p w14:paraId="35122264" w14:textId="77777777" w:rsidR="000E6E1B" w:rsidRPr="00756690" w:rsidRDefault="000E6E1B" w:rsidP="00ED5CB8">
            <w:pPr>
              <w:pStyle w:val="TableBullet"/>
            </w:pPr>
            <w:r w:rsidRPr="00756690">
              <w:t>Legal orders and gazette notices</w:t>
            </w:r>
          </w:p>
          <w:p w14:paraId="13BE1532" w14:textId="77777777" w:rsidR="000E6E1B" w:rsidRPr="00756690" w:rsidRDefault="000E6E1B" w:rsidP="00ED5CB8">
            <w:pPr>
              <w:pStyle w:val="TableBullet"/>
            </w:pPr>
            <w:r w:rsidRPr="00756690">
              <w:t>Legal advice register</w:t>
            </w:r>
          </w:p>
          <w:p w14:paraId="7E3FE1D9" w14:textId="5E61C946" w:rsidR="000E6E1B" w:rsidRPr="00756690" w:rsidRDefault="000E6E1B" w:rsidP="00ED5CB8">
            <w:pPr>
              <w:pStyle w:val="TableBullet"/>
            </w:pPr>
            <w:r w:rsidRPr="00756690">
              <w:t xml:space="preserve">Legal advice should </w:t>
            </w:r>
            <w:r w:rsidR="00AA0C7B" w:rsidRPr="00756690">
              <w:t>be</w:t>
            </w:r>
            <w:r w:rsidRPr="00756690">
              <w:t xml:space="preserve"> on the relevant file/record </w:t>
            </w:r>
            <w:r w:rsidR="00ED5CB8">
              <w:t>(</w:t>
            </w:r>
            <w:r w:rsidRPr="00756690">
              <w:t>eg</w:t>
            </w:r>
            <w:r w:rsidR="00ED5CB8">
              <w:t> </w:t>
            </w:r>
            <w:r w:rsidRPr="00756690">
              <w:t>case file</w:t>
            </w:r>
            <w:r w:rsidR="00ED5CB8">
              <w:t>)</w:t>
            </w:r>
          </w:p>
        </w:tc>
        <w:tc>
          <w:tcPr>
            <w:tcW w:w="2340" w:type="dxa"/>
            <w:tcBorders>
              <w:top w:val="single" w:sz="4" w:space="0" w:color="auto"/>
              <w:bottom w:val="single" w:sz="4" w:space="0" w:color="auto"/>
            </w:tcBorders>
            <w:shd w:val="clear" w:color="auto" w:fill="auto"/>
          </w:tcPr>
          <w:p w14:paraId="73C834FE" w14:textId="2FEEEEFA" w:rsidR="000E6E1B" w:rsidRPr="00756690" w:rsidRDefault="000E6E1B" w:rsidP="00ED5CB8">
            <w:pPr>
              <w:pStyle w:val="TableBullet"/>
            </w:pPr>
            <w:r w:rsidRPr="00756690">
              <w:t>Compliance with legislation, policy, procedures</w:t>
            </w:r>
            <w:r w:rsidR="00ED5CB8">
              <w:t>,</w:t>
            </w:r>
            <w:r w:rsidRPr="00756690">
              <w:t xml:space="preserve"> etc</w:t>
            </w:r>
          </w:p>
          <w:p w14:paraId="62A5FB84" w14:textId="1150413D" w:rsidR="000E6E1B" w:rsidRPr="00756690" w:rsidRDefault="000E6E1B" w:rsidP="00ED5CB8">
            <w:pPr>
              <w:pStyle w:val="TableBullet"/>
            </w:pPr>
            <w:r w:rsidRPr="00756690">
              <w:t xml:space="preserve">Legal risk </w:t>
            </w:r>
            <w:r w:rsidR="00917CB6" w:rsidRPr="00756690">
              <w:t>management</w:t>
            </w:r>
          </w:p>
        </w:tc>
        <w:tc>
          <w:tcPr>
            <w:tcW w:w="1821" w:type="dxa"/>
            <w:tcBorders>
              <w:top w:val="single" w:sz="4" w:space="0" w:color="auto"/>
              <w:bottom w:val="single" w:sz="4" w:space="0" w:color="auto"/>
            </w:tcBorders>
            <w:shd w:val="clear" w:color="auto" w:fill="auto"/>
          </w:tcPr>
          <w:p w14:paraId="16835442" w14:textId="7C52B81F" w:rsidR="000E6E1B" w:rsidRPr="00756690" w:rsidRDefault="000E6E1B" w:rsidP="00756690">
            <w:pPr>
              <w:pStyle w:val="TableText0"/>
            </w:pPr>
            <w:r w:rsidRPr="00756690">
              <w:t xml:space="preserve">Legal </w:t>
            </w:r>
            <w:r w:rsidR="00AC022D" w:rsidRPr="00756690">
              <w:t>Manager</w:t>
            </w:r>
          </w:p>
          <w:p w14:paraId="31FC22E7" w14:textId="77777777" w:rsidR="000E6E1B" w:rsidRPr="00756690" w:rsidRDefault="000E6E1B" w:rsidP="00756690">
            <w:pPr>
              <w:pStyle w:val="TableText0"/>
            </w:pPr>
            <w:r w:rsidRPr="00756690">
              <w:t xml:space="preserve">Planning </w:t>
            </w:r>
            <w:r w:rsidR="00AC022D" w:rsidRPr="00756690">
              <w:t>Manager</w:t>
            </w:r>
          </w:p>
          <w:p w14:paraId="47442EEF" w14:textId="0BAD198D" w:rsidR="00325E51" w:rsidRPr="00756690" w:rsidRDefault="00325E51" w:rsidP="00756690">
            <w:pPr>
              <w:pStyle w:val="TableText0"/>
            </w:pPr>
            <w:r w:rsidRPr="00756690">
              <w:t>Planning</w:t>
            </w:r>
          </w:p>
        </w:tc>
      </w:tr>
      <w:tr w:rsidR="000E6E1B" w:rsidRPr="00756690" w14:paraId="5AB5C979" w14:textId="77777777" w:rsidTr="00722234">
        <w:trPr>
          <w:cantSplit/>
        </w:trPr>
        <w:tc>
          <w:tcPr>
            <w:tcW w:w="1885" w:type="dxa"/>
            <w:tcBorders>
              <w:top w:val="single" w:sz="4" w:space="0" w:color="auto"/>
              <w:bottom w:val="single" w:sz="4" w:space="0" w:color="auto"/>
            </w:tcBorders>
            <w:shd w:val="clear" w:color="auto" w:fill="auto"/>
          </w:tcPr>
          <w:p w14:paraId="79D52056" w14:textId="52415E9D" w:rsidR="000E6E1B" w:rsidRPr="00756690" w:rsidRDefault="000E6E1B" w:rsidP="00ED5CB8">
            <w:pPr>
              <w:pStyle w:val="TableText0"/>
            </w:pPr>
            <w:r w:rsidRPr="00756690">
              <w:t xml:space="preserve">Orders </w:t>
            </w:r>
            <w:r w:rsidR="00ED5CB8">
              <w:t>i</w:t>
            </w:r>
            <w:r w:rsidRPr="00756690">
              <w:t xml:space="preserve">nstruments </w:t>
            </w:r>
            <w:r w:rsidR="00ED5CB8">
              <w:t>(</w:t>
            </w:r>
            <w:r w:rsidRPr="00756690">
              <w:t>eg</w:t>
            </w:r>
            <w:r w:rsidR="00ED5CB8">
              <w:t> </w:t>
            </w:r>
            <w:r w:rsidRPr="00756690">
              <w:t>quarantine</w:t>
            </w:r>
            <w:r w:rsidR="00ED5CB8">
              <w:t>)</w:t>
            </w:r>
          </w:p>
        </w:tc>
        <w:tc>
          <w:tcPr>
            <w:tcW w:w="2970" w:type="dxa"/>
            <w:tcBorders>
              <w:top w:val="single" w:sz="4" w:space="0" w:color="auto"/>
              <w:bottom w:val="single" w:sz="4" w:space="0" w:color="auto"/>
            </w:tcBorders>
            <w:shd w:val="clear" w:color="auto" w:fill="auto"/>
          </w:tcPr>
          <w:p w14:paraId="00468313" w14:textId="77777777" w:rsidR="000E6E1B" w:rsidRPr="00756690" w:rsidRDefault="000E6E1B" w:rsidP="00E151A5">
            <w:pPr>
              <w:pStyle w:val="TableBullet"/>
            </w:pPr>
            <w:r w:rsidRPr="00756690">
              <w:t>Risk assessments</w:t>
            </w:r>
          </w:p>
          <w:p w14:paraId="2C1F1EE2" w14:textId="77777777" w:rsidR="000E6E1B" w:rsidRPr="00756690" w:rsidRDefault="000E6E1B" w:rsidP="00E151A5">
            <w:pPr>
              <w:pStyle w:val="TableBullet"/>
            </w:pPr>
            <w:r w:rsidRPr="00756690">
              <w:t>Policies</w:t>
            </w:r>
          </w:p>
          <w:p w14:paraId="40F099AC" w14:textId="77777777" w:rsidR="000E6E1B" w:rsidRPr="00756690" w:rsidRDefault="000E6E1B" w:rsidP="00E151A5">
            <w:pPr>
              <w:pStyle w:val="TableBullet"/>
            </w:pPr>
            <w:r w:rsidRPr="00756690">
              <w:t>Procedures</w:t>
            </w:r>
          </w:p>
          <w:p w14:paraId="69442DFA" w14:textId="4E39FA50" w:rsidR="000E6E1B" w:rsidRPr="00756690" w:rsidRDefault="000E6E1B" w:rsidP="00E151A5">
            <w:pPr>
              <w:pStyle w:val="TableBullet"/>
            </w:pPr>
            <w:r w:rsidRPr="00756690">
              <w:t xml:space="preserve">Register/database (same as </w:t>
            </w:r>
            <w:r w:rsidR="00E151A5">
              <w:t>c</w:t>
            </w:r>
            <w:r w:rsidRPr="00756690">
              <w:t xml:space="preserve">ase </w:t>
            </w:r>
            <w:r w:rsidR="00E151A5">
              <w:t>m</w:t>
            </w:r>
            <w:r w:rsidR="00BF3414" w:rsidRPr="00756690">
              <w:t>ana</w:t>
            </w:r>
            <w:r w:rsidRPr="00756690">
              <w:t>g</w:t>
            </w:r>
            <w:r w:rsidR="00BF3414" w:rsidRPr="00756690">
              <w:t>emen</w:t>
            </w:r>
            <w:r w:rsidRPr="00756690">
              <w:t>t)</w:t>
            </w:r>
          </w:p>
          <w:p w14:paraId="77A4CF7F" w14:textId="77777777" w:rsidR="000E6E1B" w:rsidRPr="00756690" w:rsidRDefault="000E6E1B" w:rsidP="00E151A5">
            <w:pPr>
              <w:pStyle w:val="TableBullet"/>
            </w:pPr>
            <w:r w:rsidRPr="00756690">
              <w:t>Case files</w:t>
            </w:r>
          </w:p>
          <w:p w14:paraId="08B928C3" w14:textId="77777777" w:rsidR="000E6E1B" w:rsidRPr="00756690" w:rsidRDefault="000E6E1B" w:rsidP="00E151A5">
            <w:pPr>
              <w:pStyle w:val="TableBullet"/>
            </w:pPr>
            <w:r w:rsidRPr="00756690">
              <w:t xml:space="preserve">Investigation reports </w:t>
            </w:r>
          </w:p>
          <w:p w14:paraId="425D6A6D" w14:textId="77777777" w:rsidR="000E6E1B" w:rsidRPr="00756690" w:rsidRDefault="000E6E1B" w:rsidP="00E151A5">
            <w:pPr>
              <w:pStyle w:val="TableBullet"/>
            </w:pPr>
            <w:r w:rsidRPr="00756690">
              <w:t>Reports</w:t>
            </w:r>
          </w:p>
          <w:p w14:paraId="14C8AA2C" w14:textId="77777777" w:rsidR="000E6E1B" w:rsidRPr="00756690" w:rsidRDefault="000E6E1B" w:rsidP="00E151A5">
            <w:pPr>
              <w:pStyle w:val="TableBullet"/>
            </w:pPr>
            <w:r w:rsidRPr="00756690">
              <w:t>Audit reports</w:t>
            </w:r>
          </w:p>
        </w:tc>
        <w:tc>
          <w:tcPr>
            <w:tcW w:w="2340" w:type="dxa"/>
            <w:tcBorders>
              <w:top w:val="single" w:sz="4" w:space="0" w:color="auto"/>
              <w:bottom w:val="single" w:sz="4" w:space="0" w:color="auto"/>
            </w:tcBorders>
            <w:shd w:val="clear" w:color="auto" w:fill="auto"/>
          </w:tcPr>
          <w:p w14:paraId="713513E7" w14:textId="2144B498" w:rsidR="000E6E1B" w:rsidRPr="00756690" w:rsidRDefault="000E6E1B" w:rsidP="00E151A5">
            <w:pPr>
              <w:pStyle w:val="TableBullet"/>
            </w:pPr>
            <w:r w:rsidRPr="00756690">
              <w:t>Compliance with movement controls</w:t>
            </w:r>
          </w:p>
          <w:p w14:paraId="1C496E6B" w14:textId="29B90119" w:rsidR="000E6E1B" w:rsidRPr="00756690" w:rsidRDefault="002B7313" w:rsidP="00E151A5">
            <w:pPr>
              <w:pStyle w:val="TableBullet"/>
            </w:pPr>
            <w:r w:rsidRPr="00756690">
              <w:t>D</w:t>
            </w:r>
            <w:r w:rsidR="000E6E1B" w:rsidRPr="00756690">
              <w:t>isease less likely to spread</w:t>
            </w:r>
          </w:p>
          <w:p w14:paraId="481DCF1E" w14:textId="77777777" w:rsidR="000E6E1B" w:rsidRPr="00756690" w:rsidRDefault="000E6E1B" w:rsidP="00E151A5">
            <w:pPr>
              <w:pStyle w:val="TableBullet"/>
            </w:pPr>
            <w:r w:rsidRPr="00756690">
              <w:t>Movements that can occur do occur</w:t>
            </w:r>
          </w:p>
          <w:p w14:paraId="3A9FA058" w14:textId="2E9F2ACA" w:rsidR="000E6E1B" w:rsidRPr="00756690" w:rsidRDefault="000E6E1B" w:rsidP="00E151A5">
            <w:pPr>
              <w:pStyle w:val="TableBullet"/>
            </w:pPr>
            <w:r w:rsidRPr="00756690">
              <w:t xml:space="preserve">Stakeholder </w:t>
            </w:r>
            <w:r w:rsidR="00BF3414" w:rsidRPr="00756690">
              <w:t>management</w:t>
            </w:r>
          </w:p>
          <w:p w14:paraId="18D71FC5" w14:textId="0C785607" w:rsidR="000E6E1B" w:rsidRPr="00756690" w:rsidRDefault="000E6E1B" w:rsidP="00E151A5">
            <w:pPr>
              <w:pStyle w:val="TableBullet"/>
            </w:pPr>
            <w:r w:rsidRPr="00756690">
              <w:t xml:space="preserve">Legal risk </w:t>
            </w:r>
            <w:r w:rsidR="00BF3414" w:rsidRPr="00756690">
              <w:t>management</w:t>
            </w:r>
          </w:p>
        </w:tc>
        <w:tc>
          <w:tcPr>
            <w:tcW w:w="1821" w:type="dxa"/>
            <w:tcBorders>
              <w:top w:val="single" w:sz="4" w:space="0" w:color="auto"/>
              <w:bottom w:val="single" w:sz="4" w:space="0" w:color="auto"/>
            </w:tcBorders>
            <w:shd w:val="clear" w:color="auto" w:fill="auto"/>
          </w:tcPr>
          <w:p w14:paraId="1CB40242" w14:textId="77777777" w:rsidR="000E6E1B" w:rsidRPr="00756690" w:rsidRDefault="000E6E1B" w:rsidP="00756690">
            <w:pPr>
              <w:pStyle w:val="TableText0"/>
            </w:pPr>
            <w:r w:rsidRPr="00756690">
              <w:t>Movement and Compliance Coordinator</w:t>
            </w:r>
          </w:p>
          <w:p w14:paraId="3437C60E" w14:textId="7D8B780A" w:rsidR="00325E51" w:rsidRPr="00756690" w:rsidRDefault="00325E51" w:rsidP="00756690">
            <w:pPr>
              <w:pStyle w:val="TableText0"/>
            </w:pPr>
            <w:r w:rsidRPr="00756690">
              <w:t>Operations</w:t>
            </w:r>
          </w:p>
        </w:tc>
      </w:tr>
      <w:tr w:rsidR="000E6E1B" w:rsidRPr="00756690" w14:paraId="27C64A06" w14:textId="77777777" w:rsidTr="00722234">
        <w:trPr>
          <w:cantSplit/>
        </w:trPr>
        <w:tc>
          <w:tcPr>
            <w:tcW w:w="1885" w:type="dxa"/>
            <w:tcBorders>
              <w:top w:val="single" w:sz="4" w:space="0" w:color="auto"/>
              <w:bottom w:val="single" w:sz="4" w:space="0" w:color="auto"/>
            </w:tcBorders>
            <w:shd w:val="clear" w:color="auto" w:fill="auto"/>
          </w:tcPr>
          <w:p w14:paraId="736CA82D" w14:textId="2D5EDFBF" w:rsidR="000E6E1B" w:rsidRPr="00756690" w:rsidRDefault="000E6E1B" w:rsidP="00756690">
            <w:pPr>
              <w:pStyle w:val="TableText0"/>
            </w:pPr>
            <w:r w:rsidRPr="00756690">
              <w:t xml:space="preserve">Permit </w:t>
            </w:r>
            <w:r w:rsidR="00E151A5">
              <w:t>m</w:t>
            </w:r>
            <w:r w:rsidR="00AC022D" w:rsidRPr="00756690">
              <w:t>anagement</w:t>
            </w:r>
            <w:r w:rsidRPr="00756690">
              <w:t xml:space="preserve"> </w:t>
            </w:r>
            <w:r w:rsidR="00E151A5">
              <w:t>s</w:t>
            </w:r>
            <w:r w:rsidRPr="00756690">
              <w:t>ystem</w:t>
            </w:r>
          </w:p>
        </w:tc>
        <w:tc>
          <w:tcPr>
            <w:tcW w:w="2970" w:type="dxa"/>
            <w:tcBorders>
              <w:top w:val="single" w:sz="4" w:space="0" w:color="auto"/>
              <w:bottom w:val="single" w:sz="4" w:space="0" w:color="auto"/>
            </w:tcBorders>
            <w:shd w:val="clear" w:color="auto" w:fill="auto"/>
          </w:tcPr>
          <w:p w14:paraId="2A7CB8C4" w14:textId="77777777" w:rsidR="000E6E1B" w:rsidRPr="00756690" w:rsidRDefault="000E6E1B" w:rsidP="00E151A5">
            <w:pPr>
              <w:pStyle w:val="TableBullet"/>
            </w:pPr>
            <w:r w:rsidRPr="00756690">
              <w:t>Risk assessments</w:t>
            </w:r>
          </w:p>
          <w:p w14:paraId="0DC8F8C5" w14:textId="77777777" w:rsidR="000E6E1B" w:rsidRPr="00756690" w:rsidRDefault="000E6E1B" w:rsidP="00E151A5">
            <w:pPr>
              <w:pStyle w:val="TableBullet"/>
            </w:pPr>
            <w:r w:rsidRPr="00756690">
              <w:t>Policies</w:t>
            </w:r>
          </w:p>
          <w:p w14:paraId="71FC4E91" w14:textId="77777777" w:rsidR="000E6E1B" w:rsidRPr="00756690" w:rsidRDefault="000E6E1B" w:rsidP="00E151A5">
            <w:pPr>
              <w:pStyle w:val="TableBullet"/>
            </w:pPr>
            <w:r w:rsidRPr="00756690">
              <w:t>Procedures</w:t>
            </w:r>
          </w:p>
          <w:p w14:paraId="775F08EF" w14:textId="52A6EE29" w:rsidR="000E6E1B" w:rsidRPr="00756690" w:rsidRDefault="000E6E1B" w:rsidP="00E151A5">
            <w:pPr>
              <w:pStyle w:val="TableBullet"/>
            </w:pPr>
            <w:r w:rsidRPr="00756690">
              <w:t xml:space="preserve">Register/database (same as </w:t>
            </w:r>
            <w:r w:rsidR="00E151A5">
              <w:t>c</w:t>
            </w:r>
            <w:r w:rsidRPr="00756690">
              <w:t xml:space="preserve">ase </w:t>
            </w:r>
            <w:r w:rsidR="00E151A5">
              <w:t>m</w:t>
            </w:r>
            <w:r w:rsidR="00BF3414" w:rsidRPr="00756690">
              <w:t>anagement</w:t>
            </w:r>
            <w:r w:rsidRPr="00756690">
              <w:t>)</w:t>
            </w:r>
          </w:p>
          <w:p w14:paraId="13E6A732" w14:textId="77777777" w:rsidR="000E6E1B" w:rsidRPr="00756690" w:rsidRDefault="000E6E1B" w:rsidP="00E151A5">
            <w:pPr>
              <w:pStyle w:val="TableBullet"/>
            </w:pPr>
            <w:r w:rsidRPr="00756690">
              <w:t>Case files</w:t>
            </w:r>
          </w:p>
          <w:p w14:paraId="12A8F213" w14:textId="77777777" w:rsidR="000E6E1B" w:rsidRPr="00756690" w:rsidRDefault="000E6E1B" w:rsidP="00E151A5">
            <w:pPr>
              <w:pStyle w:val="TableBullet"/>
            </w:pPr>
            <w:r w:rsidRPr="00756690">
              <w:t>Investigation reports</w:t>
            </w:r>
          </w:p>
          <w:p w14:paraId="765B6C43" w14:textId="77777777" w:rsidR="000E6E1B" w:rsidRPr="00756690" w:rsidRDefault="000E6E1B" w:rsidP="00E151A5">
            <w:pPr>
              <w:pStyle w:val="TableBullet"/>
            </w:pPr>
            <w:r w:rsidRPr="00756690">
              <w:t xml:space="preserve">Reports </w:t>
            </w:r>
          </w:p>
          <w:p w14:paraId="2C552A5F" w14:textId="690B8FB5" w:rsidR="000E6E1B" w:rsidRPr="00756690" w:rsidRDefault="000E6E1B" w:rsidP="00E151A5">
            <w:pPr>
              <w:pStyle w:val="TableBullet"/>
            </w:pPr>
            <w:r w:rsidRPr="00756690">
              <w:t xml:space="preserve">Audit reports </w:t>
            </w:r>
          </w:p>
        </w:tc>
        <w:tc>
          <w:tcPr>
            <w:tcW w:w="2340" w:type="dxa"/>
            <w:tcBorders>
              <w:top w:val="single" w:sz="4" w:space="0" w:color="auto"/>
              <w:bottom w:val="single" w:sz="4" w:space="0" w:color="auto"/>
            </w:tcBorders>
            <w:shd w:val="clear" w:color="auto" w:fill="auto"/>
          </w:tcPr>
          <w:p w14:paraId="5A4744DE" w14:textId="7B94F368" w:rsidR="000E6E1B" w:rsidRPr="00756690" w:rsidRDefault="000E6E1B" w:rsidP="00E151A5">
            <w:pPr>
              <w:pStyle w:val="TableBullet"/>
            </w:pPr>
            <w:r w:rsidRPr="00756690">
              <w:t>Compliance with movement controls</w:t>
            </w:r>
          </w:p>
          <w:p w14:paraId="7B29E7FD" w14:textId="42A69F3F" w:rsidR="000E6E1B" w:rsidRPr="00756690" w:rsidRDefault="002B7313" w:rsidP="00E151A5">
            <w:pPr>
              <w:pStyle w:val="TableBullet"/>
            </w:pPr>
            <w:r w:rsidRPr="00756690">
              <w:t>D</w:t>
            </w:r>
            <w:r w:rsidR="000E6E1B" w:rsidRPr="00756690">
              <w:t>isease less likely to spread</w:t>
            </w:r>
          </w:p>
          <w:p w14:paraId="11B5D1F8" w14:textId="77777777" w:rsidR="000E6E1B" w:rsidRPr="00756690" w:rsidRDefault="000E6E1B" w:rsidP="00E151A5">
            <w:pPr>
              <w:pStyle w:val="TableBullet"/>
            </w:pPr>
            <w:r w:rsidRPr="00756690">
              <w:t>Movements that can occur do occur</w:t>
            </w:r>
          </w:p>
          <w:p w14:paraId="0744D0B8" w14:textId="1C4AE920" w:rsidR="000E6E1B" w:rsidRPr="00756690" w:rsidRDefault="000E6E1B" w:rsidP="00E151A5">
            <w:pPr>
              <w:pStyle w:val="TableBullet"/>
            </w:pPr>
            <w:r w:rsidRPr="00756690">
              <w:t xml:space="preserve">Stakeholder </w:t>
            </w:r>
            <w:r w:rsidR="00E151A5">
              <w:t>m</w:t>
            </w:r>
            <w:r w:rsidR="00BF3414" w:rsidRPr="00756690">
              <w:t>anagement</w:t>
            </w:r>
          </w:p>
          <w:p w14:paraId="7607CA1A" w14:textId="00DE2C59" w:rsidR="000E6E1B" w:rsidRPr="00756690" w:rsidRDefault="000E6E1B" w:rsidP="00E151A5">
            <w:pPr>
              <w:pStyle w:val="TableBullet"/>
            </w:pPr>
            <w:r w:rsidRPr="00756690">
              <w:t xml:space="preserve">Legal risk </w:t>
            </w:r>
            <w:r w:rsidR="00E151A5">
              <w:t>m</w:t>
            </w:r>
            <w:r w:rsidR="00BF3414" w:rsidRPr="00756690">
              <w:t>anagement</w:t>
            </w:r>
          </w:p>
        </w:tc>
        <w:tc>
          <w:tcPr>
            <w:tcW w:w="1821" w:type="dxa"/>
            <w:tcBorders>
              <w:top w:val="single" w:sz="4" w:space="0" w:color="auto"/>
              <w:bottom w:val="single" w:sz="4" w:space="0" w:color="auto"/>
            </w:tcBorders>
            <w:shd w:val="clear" w:color="auto" w:fill="auto"/>
          </w:tcPr>
          <w:p w14:paraId="26E30FD2" w14:textId="77777777" w:rsidR="000E6E1B" w:rsidRPr="00756690" w:rsidRDefault="000E6E1B" w:rsidP="00756690">
            <w:pPr>
              <w:pStyle w:val="TableText0"/>
            </w:pPr>
            <w:r w:rsidRPr="00756690">
              <w:t>Movement and Compliance Coordinator</w:t>
            </w:r>
          </w:p>
          <w:p w14:paraId="158EF128" w14:textId="2DA7BCB2" w:rsidR="00325E51" w:rsidRPr="00756690" w:rsidRDefault="00325E51" w:rsidP="00756690">
            <w:pPr>
              <w:pStyle w:val="TableText0"/>
            </w:pPr>
            <w:r w:rsidRPr="00756690">
              <w:t>Operations</w:t>
            </w:r>
          </w:p>
        </w:tc>
      </w:tr>
      <w:tr w:rsidR="000E6E1B" w:rsidRPr="00756690" w14:paraId="65C993F2" w14:textId="77777777" w:rsidTr="00722234">
        <w:trPr>
          <w:cantSplit/>
        </w:trPr>
        <w:tc>
          <w:tcPr>
            <w:tcW w:w="1885" w:type="dxa"/>
            <w:tcBorders>
              <w:top w:val="single" w:sz="4" w:space="0" w:color="auto"/>
              <w:bottom w:val="single" w:sz="4" w:space="0" w:color="auto"/>
            </w:tcBorders>
            <w:shd w:val="clear" w:color="auto" w:fill="auto"/>
          </w:tcPr>
          <w:p w14:paraId="4BED4D5F" w14:textId="6657FCE4" w:rsidR="000E6E1B" w:rsidRPr="00756690" w:rsidRDefault="000E6E1B" w:rsidP="00756690">
            <w:pPr>
              <w:pStyle w:val="TableText0"/>
            </w:pPr>
            <w:r w:rsidRPr="00756690">
              <w:t>Policies and procedures register</w:t>
            </w:r>
          </w:p>
        </w:tc>
        <w:tc>
          <w:tcPr>
            <w:tcW w:w="2970" w:type="dxa"/>
            <w:tcBorders>
              <w:top w:val="single" w:sz="4" w:space="0" w:color="auto"/>
              <w:bottom w:val="single" w:sz="4" w:space="0" w:color="auto"/>
            </w:tcBorders>
            <w:shd w:val="clear" w:color="auto" w:fill="auto"/>
          </w:tcPr>
          <w:p w14:paraId="69BE1472" w14:textId="77777777" w:rsidR="000E6E1B" w:rsidRPr="00756690" w:rsidRDefault="000E6E1B" w:rsidP="00E151A5">
            <w:pPr>
              <w:pStyle w:val="TableBullet"/>
            </w:pPr>
            <w:r w:rsidRPr="00756690">
              <w:t>Policies</w:t>
            </w:r>
          </w:p>
          <w:p w14:paraId="3C233893" w14:textId="77777777" w:rsidR="000E6E1B" w:rsidRPr="00756690" w:rsidRDefault="000E6E1B" w:rsidP="00E151A5">
            <w:pPr>
              <w:pStyle w:val="TableBullet"/>
            </w:pPr>
            <w:r w:rsidRPr="00756690">
              <w:t>Procedures</w:t>
            </w:r>
          </w:p>
          <w:p w14:paraId="2E3E2D1B" w14:textId="114A94BB" w:rsidR="000E6E1B" w:rsidRPr="00756690" w:rsidRDefault="000E6E1B" w:rsidP="00E151A5">
            <w:pPr>
              <w:pStyle w:val="TableBullet"/>
            </w:pPr>
            <w:r w:rsidRPr="00756690">
              <w:t>Specific documents</w:t>
            </w:r>
            <w:r w:rsidR="00E151A5">
              <w:t xml:space="preserve"> (</w:t>
            </w:r>
            <w:r w:rsidRPr="00756690">
              <w:t>eg</w:t>
            </w:r>
            <w:r w:rsidR="00E151A5">
              <w:t> c</w:t>
            </w:r>
            <w:r w:rsidRPr="00756690">
              <w:t>ase definition</w:t>
            </w:r>
            <w:r w:rsidR="00E151A5">
              <w:t>)</w:t>
            </w:r>
          </w:p>
          <w:p w14:paraId="22552626" w14:textId="7538820D" w:rsidR="000E6E1B" w:rsidRPr="00756690" w:rsidRDefault="000E6E1B" w:rsidP="00E151A5">
            <w:pPr>
              <w:pStyle w:val="TableBullet"/>
            </w:pPr>
            <w:r w:rsidRPr="00756690">
              <w:t>Reference document</w:t>
            </w:r>
            <w:r w:rsidR="00E151A5">
              <w:t>s are AUSVETPLAN</w:t>
            </w:r>
          </w:p>
        </w:tc>
        <w:tc>
          <w:tcPr>
            <w:tcW w:w="2340" w:type="dxa"/>
            <w:tcBorders>
              <w:top w:val="single" w:sz="4" w:space="0" w:color="auto"/>
              <w:bottom w:val="single" w:sz="4" w:space="0" w:color="auto"/>
            </w:tcBorders>
            <w:shd w:val="clear" w:color="auto" w:fill="auto"/>
          </w:tcPr>
          <w:p w14:paraId="59EC08F6" w14:textId="13E22ECD" w:rsidR="000E6E1B" w:rsidRPr="00756690" w:rsidRDefault="000E6E1B" w:rsidP="00E151A5">
            <w:pPr>
              <w:pStyle w:val="TableBullet"/>
            </w:pPr>
            <w:r w:rsidRPr="00756690">
              <w:t>Consistency and reproducibility</w:t>
            </w:r>
          </w:p>
          <w:p w14:paraId="4F20B289" w14:textId="3C8B486C" w:rsidR="000E6E1B" w:rsidRPr="00756690" w:rsidRDefault="00BF3414" w:rsidP="00E151A5">
            <w:pPr>
              <w:pStyle w:val="TableBullet"/>
            </w:pPr>
            <w:r w:rsidRPr="00756690">
              <w:t>Management</w:t>
            </w:r>
            <w:r w:rsidR="000E6E1B" w:rsidRPr="00756690">
              <w:t xml:space="preserve"> of tasks </w:t>
            </w:r>
          </w:p>
        </w:tc>
        <w:tc>
          <w:tcPr>
            <w:tcW w:w="1821" w:type="dxa"/>
            <w:tcBorders>
              <w:top w:val="single" w:sz="4" w:space="0" w:color="auto"/>
              <w:bottom w:val="single" w:sz="4" w:space="0" w:color="auto"/>
            </w:tcBorders>
            <w:shd w:val="clear" w:color="auto" w:fill="auto"/>
          </w:tcPr>
          <w:p w14:paraId="495CEAD8" w14:textId="672A2E89" w:rsidR="000E6E1B" w:rsidRPr="00756690" w:rsidRDefault="000E6E1B" w:rsidP="00756690">
            <w:pPr>
              <w:pStyle w:val="TableText0"/>
            </w:pPr>
            <w:r w:rsidRPr="00756690">
              <w:t xml:space="preserve">Planning </w:t>
            </w:r>
            <w:r w:rsidR="00AC022D" w:rsidRPr="00756690">
              <w:t>Manager</w:t>
            </w:r>
          </w:p>
          <w:p w14:paraId="007D6648" w14:textId="03A27D1D" w:rsidR="00325E51" w:rsidRPr="00756690" w:rsidRDefault="00325E51" w:rsidP="00756690">
            <w:pPr>
              <w:pStyle w:val="TableText0"/>
            </w:pPr>
            <w:r w:rsidRPr="00756690">
              <w:t>Planning</w:t>
            </w:r>
          </w:p>
        </w:tc>
      </w:tr>
      <w:tr w:rsidR="000E6E1B" w:rsidRPr="00756690" w14:paraId="5A4D39F8" w14:textId="77777777" w:rsidTr="00722234">
        <w:trPr>
          <w:cantSplit/>
        </w:trPr>
        <w:tc>
          <w:tcPr>
            <w:tcW w:w="1885" w:type="dxa"/>
            <w:tcBorders>
              <w:top w:val="single" w:sz="4" w:space="0" w:color="auto"/>
              <w:bottom w:val="single" w:sz="4" w:space="0" w:color="auto"/>
            </w:tcBorders>
            <w:shd w:val="clear" w:color="auto" w:fill="auto"/>
          </w:tcPr>
          <w:p w14:paraId="358FBE66" w14:textId="58482339" w:rsidR="000E6E1B" w:rsidRPr="00756690" w:rsidRDefault="000E6E1B" w:rsidP="00756690">
            <w:pPr>
              <w:pStyle w:val="TableText0"/>
            </w:pPr>
            <w:r w:rsidRPr="00756690">
              <w:t xml:space="preserve">Records </w:t>
            </w:r>
            <w:r w:rsidR="00B6438E" w:rsidRPr="00756690">
              <w:t>m</w:t>
            </w:r>
            <w:r w:rsidR="00AC022D" w:rsidRPr="00756690">
              <w:t>anagement</w:t>
            </w:r>
          </w:p>
        </w:tc>
        <w:tc>
          <w:tcPr>
            <w:tcW w:w="2970" w:type="dxa"/>
            <w:tcBorders>
              <w:top w:val="single" w:sz="4" w:space="0" w:color="auto"/>
              <w:bottom w:val="single" w:sz="4" w:space="0" w:color="auto"/>
            </w:tcBorders>
            <w:shd w:val="clear" w:color="auto" w:fill="auto"/>
          </w:tcPr>
          <w:p w14:paraId="6688187C" w14:textId="144BA695" w:rsidR="000E6E1B" w:rsidRPr="00756690" w:rsidRDefault="000E6E1B" w:rsidP="00E151A5">
            <w:pPr>
              <w:pStyle w:val="TableBullet"/>
            </w:pPr>
            <w:r w:rsidRPr="00756690">
              <w:t xml:space="preserve">All records – electronic and paper </w:t>
            </w:r>
            <w:r w:rsidR="00E151A5">
              <w:t xml:space="preserve">– </w:t>
            </w:r>
            <w:r w:rsidRPr="00756690">
              <w:t>are stored and retrievable during and after response</w:t>
            </w:r>
          </w:p>
          <w:p w14:paraId="0E2032A7" w14:textId="77777777" w:rsidR="000E6E1B" w:rsidRPr="00756690" w:rsidRDefault="000E6E1B" w:rsidP="00E151A5">
            <w:pPr>
              <w:pStyle w:val="TableBullet"/>
            </w:pPr>
            <w:r w:rsidRPr="00756690">
              <w:t>Records to include event logs, message forms, diaries and emails, texts, social media</w:t>
            </w:r>
          </w:p>
          <w:p w14:paraId="0443EFD6" w14:textId="1991BF41" w:rsidR="000E6E1B" w:rsidRPr="00756690" w:rsidRDefault="000E6E1B" w:rsidP="00E151A5">
            <w:pPr>
              <w:pStyle w:val="TableBullet"/>
            </w:pPr>
            <w:r w:rsidRPr="00756690">
              <w:t xml:space="preserve">Outputs may be embedded in other systems </w:t>
            </w:r>
            <w:r w:rsidR="00E151A5">
              <w:t>(</w:t>
            </w:r>
            <w:r w:rsidRPr="00756690">
              <w:t>eg</w:t>
            </w:r>
            <w:r w:rsidR="00E151A5">
              <w:t> a</w:t>
            </w:r>
            <w:r w:rsidRPr="00756690">
              <w:t xml:space="preserve">ccounts, </w:t>
            </w:r>
            <w:r w:rsidRPr="0045090A">
              <w:t>PPE</w:t>
            </w:r>
            <w:r w:rsidRPr="00756690">
              <w:t xml:space="preserve"> register, </w:t>
            </w:r>
            <w:r w:rsidR="00E151A5">
              <w:t>c</w:t>
            </w:r>
            <w:r w:rsidRPr="00756690">
              <w:t xml:space="preserve">ase </w:t>
            </w:r>
            <w:r w:rsidR="00E151A5">
              <w:t>m</w:t>
            </w:r>
            <w:r w:rsidR="00BF3414" w:rsidRPr="00756690">
              <w:t>anagement</w:t>
            </w:r>
            <w:r w:rsidR="00E151A5">
              <w:t>)</w:t>
            </w:r>
          </w:p>
          <w:p w14:paraId="3D549CF0" w14:textId="77777777" w:rsidR="000E6E1B" w:rsidRPr="00756690" w:rsidRDefault="000E6E1B" w:rsidP="00E151A5">
            <w:pPr>
              <w:pStyle w:val="TableBullet"/>
            </w:pPr>
            <w:r w:rsidRPr="00756690">
              <w:t xml:space="preserve">Reports </w:t>
            </w:r>
          </w:p>
          <w:p w14:paraId="721585DE" w14:textId="0762E2EE" w:rsidR="000E6E1B" w:rsidRPr="00756690" w:rsidRDefault="000E6E1B" w:rsidP="00E151A5">
            <w:pPr>
              <w:pStyle w:val="TableBullet"/>
            </w:pPr>
            <w:r w:rsidRPr="00756690">
              <w:t xml:space="preserve">Digital images labelled and allocated to relevant file (not </w:t>
            </w:r>
            <w:r w:rsidR="00E151A5">
              <w:t>p</w:t>
            </w:r>
            <w:r w:rsidRPr="00756690">
              <w:t>hotos) </w:t>
            </w:r>
          </w:p>
        </w:tc>
        <w:tc>
          <w:tcPr>
            <w:tcW w:w="2340" w:type="dxa"/>
            <w:tcBorders>
              <w:top w:val="single" w:sz="4" w:space="0" w:color="auto"/>
              <w:bottom w:val="single" w:sz="4" w:space="0" w:color="auto"/>
            </w:tcBorders>
            <w:shd w:val="clear" w:color="auto" w:fill="auto"/>
          </w:tcPr>
          <w:p w14:paraId="3EBD77F4" w14:textId="77777777" w:rsidR="000E6E1B" w:rsidRPr="00756690" w:rsidRDefault="000E6E1B" w:rsidP="00E151A5">
            <w:pPr>
              <w:pStyle w:val="TableBullet"/>
            </w:pPr>
            <w:r w:rsidRPr="00756690">
              <w:t>Informed decision making</w:t>
            </w:r>
          </w:p>
          <w:p w14:paraId="05AFB179" w14:textId="13A0F449" w:rsidR="000E6E1B" w:rsidRPr="00756690" w:rsidRDefault="000E6E1B" w:rsidP="00E151A5">
            <w:pPr>
              <w:pStyle w:val="TableBullet"/>
            </w:pPr>
            <w:r w:rsidRPr="00756690">
              <w:t>Handover/transition from person to person and phase to phase</w:t>
            </w:r>
          </w:p>
          <w:p w14:paraId="40381CAA" w14:textId="77777777" w:rsidR="000E6E1B" w:rsidRPr="00756690" w:rsidRDefault="000E6E1B" w:rsidP="00E151A5">
            <w:pPr>
              <w:pStyle w:val="TableBullet"/>
            </w:pPr>
            <w:r w:rsidRPr="00756690">
              <w:t>Response knows what it should know</w:t>
            </w:r>
          </w:p>
          <w:p w14:paraId="43B077F4" w14:textId="77777777" w:rsidR="000E6E1B" w:rsidRPr="00756690" w:rsidRDefault="000E6E1B" w:rsidP="00E151A5">
            <w:pPr>
              <w:pStyle w:val="TableBullet"/>
            </w:pPr>
            <w:r w:rsidRPr="00756690">
              <w:t>Legal risk management</w:t>
            </w:r>
          </w:p>
        </w:tc>
        <w:tc>
          <w:tcPr>
            <w:tcW w:w="1821" w:type="dxa"/>
            <w:tcBorders>
              <w:top w:val="single" w:sz="4" w:space="0" w:color="auto"/>
              <w:bottom w:val="single" w:sz="4" w:space="0" w:color="auto"/>
            </w:tcBorders>
            <w:shd w:val="clear" w:color="auto" w:fill="auto"/>
          </w:tcPr>
          <w:p w14:paraId="09B58029" w14:textId="20C86046" w:rsidR="000E6E1B" w:rsidRPr="00756690" w:rsidRDefault="00917CB6" w:rsidP="00756690">
            <w:pPr>
              <w:pStyle w:val="TableText0"/>
            </w:pPr>
            <w:r w:rsidRPr="00756690">
              <w:t>Management</w:t>
            </w:r>
            <w:r w:rsidR="000E6E1B" w:rsidRPr="00756690">
              <w:t xml:space="preserve"> </w:t>
            </w:r>
            <w:r w:rsidR="00F62AAA">
              <w:t>s</w:t>
            </w:r>
            <w:r w:rsidR="000E6E1B" w:rsidRPr="00756690">
              <w:t>upport</w:t>
            </w:r>
          </w:p>
          <w:p w14:paraId="13024CE9" w14:textId="77777777" w:rsidR="000E6E1B" w:rsidRPr="00756690" w:rsidRDefault="000E6E1B" w:rsidP="00756690">
            <w:pPr>
              <w:pStyle w:val="TableText0"/>
            </w:pPr>
            <w:r w:rsidRPr="00756690">
              <w:t>Every officer</w:t>
            </w:r>
          </w:p>
        </w:tc>
      </w:tr>
      <w:tr w:rsidR="000E6E1B" w:rsidRPr="00756690" w14:paraId="2E7097E4" w14:textId="77777777" w:rsidTr="00722234">
        <w:trPr>
          <w:cantSplit/>
          <w:trHeight w:val="620"/>
        </w:trPr>
        <w:tc>
          <w:tcPr>
            <w:tcW w:w="1885" w:type="dxa"/>
            <w:tcBorders>
              <w:top w:val="single" w:sz="4" w:space="0" w:color="auto"/>
              <w:bottom w:val="single" w:sz="4" w:space="0" w:color="auto"/>
            </w:tcBorders>
            <w:shd w:val="clear" w:color="auto" w:fill="auto"/>
          </w:tcPr>
          <w:p w14:paraId="5BF43E6E" w14:textId="42222968" w:rsidR="000E6E1B" w:rsidRPr="00756690" w:rsidRDefault="000E6E1B" w:rsidP="00756690">
            <w:pPr>
              <w:pStyle w:val="TableText0"/>
            </w:pPr>
            <w:r w:rsidRPr="00756690">
              <w:t>Resource planning</w:t>
            </w:r>
          </w:p>
        </w:tc>
        <w:tc>
          <w:tcPr>
            <w:tcW w:w="2970" w:type="dxa"/>
            <w:tcBorders>
              <w:top w:val="single" w:sz="4" w:space="0" w:color="auto"/>
              <w:bottom w:val="single" w:sz="4" w:space="0" w:color="auto"/>
            </w:tcBorders>
            <w:shd w:val="clear" w:color="auto" w:fill="auto"/>
          </w:tcPr>
          <w:p w14:paraId="440BF5CD" w14:textId="339B5BAA" w:rsidR="000E6E1B" w:rsidRPr="00756690" w:rsidRDefault="000E6E1B" w:rsidP="00E151A5">
            <w:pPr>
              <w:pStyle w:val="TableBullet"/>
            </w:pPr>
            <w:r w:rsidRPr="00756690">
              <w:t xml:space="preserve">Resource </w:t>
            </w:r>
            <w:r w:rsidR="00E151A5">
              <w:t>P</w:t>
            </w:r>
            <w:r w:rsidRPr="00756690">
              <w:t>lan</w:t>
            </w:r>
          </w:p>
          <w:p w14:paraId="19E18C45" w14:textId="77777777" w:rsidR="000E6E1B" w:rsidRPr="00756690" w:rsidRDefault="000E6E1B" w:rsidP="00E151A5">
            <w:pPr>
              <w:pStyle w:val="TableBullet"/>
            </w:pPr>
            <w:r w:rsidRPr="00756690">
              <w:t xml:space="preserve">Resource appreciation </w:t>
            </w:r>
          </w:p>
          <w:p w14:paraId="7CCF01E3" w14:textId="77777777" w:rsidR="000E6E1B" w:rsidRPr="00756690" w:rsidRDefault="000E6E1B" w:rsidP="00E151A5">
            <w:pPr>
              <w:pStyle w:val="TableBullet"/>
            </w:pPr>
            <w:r w:rsidRPr="00756690">
              <w:t xml:space="preserve">Resource risk assessment </w:t>
            </w:r>
          </w:p>
          <w:p w14:paraId="0796292E" w14:textId="6A185D46" w:rsidR="000E6E1B" w:rsidRPr="00756690" w:rsidRDefault="000E6E1B" w:rsidP="00E151A5">
            <w:pPr>
              <w:pStyle w:val="TableBullet"/>
            </w:pPr>
            <w:r w:rsidRPr="00756690">
              <w:t xml:space="preserve">Resource </w:t>
            </w:r>
            <w:r w:rsidR="00917CB6" w:rsidRPr="00756690">
              <w:t>management</w:t>
            </w:r>
            <w:r w:rsidRPr="00756690">
              <w:t xml:space="preserve"> system </w:t>
            </w:r>
            <w:r w:rsidR="00E151A5">
              <w:t>(</w:t>
            </w:r>
            <w:r w:rsidRPr="00756690">
              <w:t xml:space="preserve">see </w:t>
            </w:r>
            <w:r w:rsidR="00E151A5">
              <w:t>‘Asset/resource/stores management’ and ‘Hazardous address register’)</w:t>
            </w:r>
          </w:p>
        </w:tc>
        <w:tc>
          <w:tcPr>
            <w:tcW w:w="2340" w:type="dxa"/>
            <w:tcBorders>
              <w:top w:val="single" w:sz="4" w:space="0" w:color="auto"/>
              <w:bottom w:val="single" w:sz="4" w:space="0" w:color="auto"/>
            </w:tcBorders>
            <w:shd w:val="clear" w:color="auto" w:fill="auto"/>
          </w:tcPr>
          <w:p w14:paraId="26B68E33" w14:textId="43BF4270" w:rsidR="000E6E1B" w:rsidRPr="00756690" w:rsidRDefault="000E6E1B" w:rsidP="00E151A5">
            <w:pPr>
              <w:pStyle w:val="TableBullet"/>
            </w:pPr>
            <w:r w:rsidRPr="00756690">
              <w:t>Right resource in right place and right time</w:t>
            </w:r>
          </w:p>
          <w:p w14:paraId="4479EEC1" w14:textId="77777777" w:rsidR="000E6E1B" w:rsidRPr="00756690" w:rsidRDefault="000E6E1B" w:rsidP="00E151A5">
            <w:pPr>
              <w:pStyle w:val="TableBullet"/>
            </w:pPr>
            <w:r w:rsidRPr="00756690">
              <w:t>Resource needs match operational needs</w:t>
            </w:r>
          </w:p>
          <w:p w14:paraId="14C92CBF" w14:textId="77777777" w:rsidR="000E6E1B" w:rsidRPr="00756690" w:rsidRDefault="000E6E1B" w:rsidP="00E151A5">
            <w:pPr>
              <w:pStyle w:val="TableBullet"/>
            </w:pPr>
            <w:r w:rsidRPr="00756690">
              <w:t>Minimum decisive force</w:t>
            </w:r>
          </w:p>
          <w:p w14:paraId="04C64B92" w14:textId="1B648DC5" w:rsidR="000E6E1B" w:rsidRPr="00756690" w:rsidRDefault="000E6E1B" w:rsidP="00BE77EA">
            <w:pPr>
              <w:pStyle w:val="TableBullet"/>
            </w:pPr>
            <w:r w:rsidRPr="00756690">
              <w:t>Budget met</w:t>
            </w:r>
          </w:p>
        </w:tc>
        <w:tc>
          <w:tcPr>
            <w:tcW w:w="1821" w:type="dxa"/>
            <w:tcBorders>
              <w:top w:val="single" w:sz="4" w:space="0" w:color="auto"/>
              <w:bottom w:val="single" w:sz="4" w:space="0" w:color="auto"/>
            </w:tcBorders>
            <w:shd w:val="clear" w:color="auto" w:fill="auto"/>
          </w:tcPr>
          <w:p w14:paraId="318A6E35" w14:textId="77777777" w:rsidR="000E6E1B" w:rsidRPr="00756690" w:rsidRDefault="000E6E1B" w:rsidP="00756690">
            <w:pPr>
              <w:pStyle w:val="TableText0"/>
            </w:pPr>
            <w:r w:rsidRPr="00756690">
              <w:t>Resource Planning Officer</w:t>
            </w:r>
          </w:p>
          <w:p w14:paraId="0C092415" w14:textId="77777777" w:rsidR="000E6E1B" w:rsidRPr="00756690" w:rsidRDefault="000E6E1B" w:rsidP="00756690">
            <w:pPr>
              <w:pStyle w:val="TableText0"/>
            </w:pPr>
            <w:r w:rsidRPr="00756690">
              <w:t xml:space="preserve">Planning </w:t>
            </w:r>
            <w:r w:rsidR="00AC022D" w:rsidRPr="00756690">
              <w:t>Manager</w:t>
            </w:r>
          </w:p>
          <w:p w14:paraId="26B2A4FF" w14:textId="7A6C8143" w:rsidR="00325E51" w:rsidRPr="00756690" w:rsidRDefault="00325E51" w:rsidP="00756690">
            <w:pPr>
              <w:pStyle w:val="TableText0"/>
            </w:pPr>
            <w:r w:rsidRPr="00756690">
              <w:t>Planning</w:t>
            </w:r>
          </w:p>
        </w:tc>
      </w:tr>
      <w:tr w:rsidR="000E6E1B" w:rsidRPr="00756690" w14:paraId="79B705B6" w14:textId="77777777" w:rsidTr="00722234">
        <w:trPr>
          <w:cantSplit/>
          <w:trHeight w:val="998"/>
        </w:trPr>
        <w:tc>
          <w:tcPr>
            <w:tcW w:w="1885" w:type="dxa"/>
            <w:tcBorders>
              <w:top w:val="single" w:sz="4" w:space="0" w:color="auto"/>
              <w:bottom w:val="single" w:sz="4" w:space="0" w:color="auto"/>
            </w:tcBorders>
            <w:shd w:val="clear" w:color="auto" w:fill="auto"/>
          </w:tcPr>
          <w:p w14:paraId="30844508" w14:textId="10D54728" w:rsidR="000E6E1B" w:rsidRPr="00756690" w:rsidRDefault="000E6E1B" w:rsidP="00BE77EA">
            <w:pPr>
              <w:pStyle w:val="TableText0"/>
            </w:pPr>
            <w:r w:rsidRPr="00756690">
              <w:t>Resource/</w:t>
            </w:r>
            <w:r w:rsidR="00BE77EA">
              <w:br/>
              <w:t>c</w:t>
            </w:r>
            <w:r w:rsidRPr="00756690">
              <w:t>ontractor/service tracking</w:t>
            </w:r>
          </w:p>
        </w:tc>
        <w:tc>
          <w:tcPr>
            <w:tcW w:w="2970" w:type="dxa"/>
            <w:tcBorders>
              <w:top w:val="single" w:sz="4" w:space="0" w:color="auto"/>
              <w:bottom w:val="single" w:sz="4" w:space="0" w:color="auto"/>
            </w:tcBorders>
            <w:shd w:val="clear" w:color="auto" w:fill="auto"/>
          </w:tcPr>
          <w:p w14:paraId="5D591FEB" w14:textId="77777777" w:rsidR="000E6E1B" w:rsidRPr="00756690" w:rsidRDefault="000E6E1B" w:rsidP="00BE77EA">
            <w:pPr>
              <w:pStyle w:val="TableBullet"/>
            </w:pPr>
            <w:r w:rsidRPr="00756690">
              <w:t>Resource tracking register showing status of each resource</w:t>
            </w:r>
          </w:p>
          <w:p w14:paraId="3F2A564F" w14:textId="233D9294" w:rsidR="000E6E1B" w:rsidRPr="00756690" w:rsidRDefault="000E6E1B" w:rsidP="00BE77EA">
            <w:pPr>
              <w:pStyle w:val="TableBullet"/>
            </w:pPr>
            <w:r w:rsidRPr="00756690">
              <w:t>Files for each resource/service/contractor</w:t>
            </w:r>
          </w:p>
        </w:tc>
        <w:tc>
          <w:tcPr>
            <w:tcW w:w="2340" w:type="dxa"/>
            <w:tcBorders>
              <w:top w:val="single" w:sz="4" w:space="0" w:color="auto"/>
              <w:bottom w:val="single" w:sz="4" w:space="0" w:color="auto"/>
            </w:tcBorders>
            <w:shd w:val="clear" w:color="auto" w:fill="auto"/>
          </w:tcPr>
          <w:p w14:paraId="563DE9AB" w14:textId="0C2CF37D" w:rsidR="000E6E1B" w:rsidRPr="00756690" w:rsidRDefault="000E6E1B" w:rsidP="00BE77EA">
            <w:pPr>
              <w:pStyle w:val="TableBullet"/>
            </w:pPr>
            <w:r w:rsidRPr="00756690">
              <w:t xml:space="preserve">Compliance with Resource </w:t>
            </w:r>
            <w:r w:rsidR="00BE77EA">
              <w:t>P</w:t>
            </w:r>
            <w:r w:rsidRPr="00756690">
              <w:t>lan</w:t>
            </w:r>
          </w:p>
          <w:p w14:paraId="203A1E37" w14:textId="77777777" w:rsidR="000E6E1B" w:rsidRPr="00756690" w:rsidRDefault="000E6E1B" w:rsidP="00BE77EA">
            <w:pPr>
              <w:pStyle w:val="TableBullet"/>
            </w:pPr>
            <w:r w:rsidRPr="00756690">
              <w:t>Resources managed</w:t>
            </w:r>
          </w:p>
          <w:p w14:paraId="70A5D654" w14:textId="77777777" w:rsidR="000E6E1B" w:rsidRPr="00756690" w:rsidRDefault="000E6E1B" w:rsidP="00BE77EA">
            <w:pPr>
              <w:pStyle w:val="TableBullet"/>
            </w:pPr>
            <w:r w:rsidRPr="00756690">
              <w:t>Resource costs managed</w:t>
            </w:r>
          </w:p>
        </w:tc>
        <w:tc>
          <w:tcPr>
            <w:tcW w:w="1821" w:type="dxa"/>
            <w:tcBorders>
              <w:top w:val="single" w:sz="4" w:space="0" w:color="auto"/>
              <w:bottom w:val="single" w:sz="4" w:space="0" w:color="auto"/>
            </w:tcBorders>
            <w:shd w:val="clear" w:color="auto" w:fill="auto"/>
          </w:tcPr>
          <w:p w14:paraId="251C571E" w14:textId="3385ACF8" w:rsidR="000E6E1B" w:rsidRPr="00756690" w:rsidRDefault="000E6E1B" w:rsidP="00756690">
            <w:pPr>
              <w:pStyle w:val="TableText0"/>
            </w:pPr>
            <w:r w:rsidRPr="00756690">
              <w:t>Operations – resource tracking</w:t>
            </w:r>
          </w:p>
          <w:p w14:paraId="4B46E474" w14:textId="77777777" w:rsidR="000E6E1B" w:rsidRPr="00756690" w:rsidRDefault="000E6E1B" w:rsidP="00756690">
            <w:pPr>
              <w:pStyle w:val="TableText0"/>
            </w:pPr>
            <w:r w:rsidRPr="00756690">
              <w:t>Logistics – resource acquisition</w:t>
            </w:r>
          </w:p>
        </w:tc>
      </w:tr>
      <w:tr w:rsidR="000E6E1B" w:rsidRPr="00756690" w14:paraId="4C55B008" w14:textId="77777777" w:rsidTr="00722234">
        <w:trPr>
          <w:cantSplit/>
        </w:trPr>
        <w:tc>
          <w:tcPr>
            <w:tcW w:w="1885" w:type="dxa"/>
            <w:tcBorders>
              <w:top w:val="single" w:sz="4" w:space="0" w:color="auto"/>
              <w:bottom w:val="single" w:sz="4" w:space="0" w:color="auto"/>
            </w:tcBorders>
            <w:shd w:val="clear" w:color="auto" w:fill="auto"/>
          </w:tcPr>
          <w:p w14:paraId="5CF2BD00" w14:textId="2A498687" w:rsidR="000E6E1B" w:rsidRPr="00756690" w:rsidRDefault="000E6E1B" w:rsidP="00756690">
            <w:pPr>
              <w:pStyle w:val="TableText0"/>
            </w:pPr>
            <w:r w:rsidRPr="00756690">
              <w:t>Rosters</w:t>
            </w:r>
          </w:p>
        </w:tc>
        <w:tc>
          <w:tcPr>
            <w:tcW w:w="2970" w:type="dxa"/>
            <w:tcBorders>
              <w:top w:val="single" w:sz="4" w:space="0" w:color="auto"/>
              <w:bottom w:val="single" w:sz="4" w:space="0" w:color="auto"/>
            </w:tcBorders>
            <w:shd w:val="clear" w:color="auto" w:fill="auto"/>
          </w:tcPr>
          <w:p w14:paraId="674997AB" w14:textId="5382D8E7" w:rsidR="000E6E1B" w:rsidRPr="00756690" w:rsidRDefault="000E6E1B" w:rsidP="00BE77EA">
            <w:pPr>
              <w:pStyle w:val="TableBullet"/>
            </w:pPr>
            <w:r w:rsidRPr="00756690">
              <w:t>Roster for each function/section</w:t>
            </w:r>
          </w:p>
          <w:p w14:paraId="0D4C5FD4" w14:textId="77777777" w:rsidR="000E6E1B" w:rsidRPr="00756690" w:rsidRDefault="000E6E1B" w:rsidP="00BE77EA">
            <w:pPr>
              <w:pStyle w:val="TableBullet"/>
            </w:pPr>
            <w:r w:rsidRPr="00756690">
              <w:t>Supporting information for development of roster</w:t>
            </w:r>
          </w:p>
          <w:p w14:paraId="46050049" w14:textId="77777777" w:rsidR="000E6E1B" w:rsidRPr="00756690" w:rsidRDefault="000E6E1B" w:rsidP="00BE77EA">
            <w:pPr>
              <w:pStyle w:val="TableBullet"/>
            </w:pPr>
            <w:r w:rsidRPr="00756690">
              <w:t>Policy</w:t>
            </w:r>
          </w:p>
          <w:p w14:paraId="48E8DA2B" w14:textId="77777777" w:rsidR="000E6E1B" w:rsidRPr="00756690" w:rsidRDefault="000E6E1B" w:rsidP="00BE77EA">
            <w:pPr>
              <w:pStyle w:val="TableBullet"/>
            </w:pPr>
            <w:r w:rsidRPr="00756690">
              <w:t>Procedures</w:t>
            </w:r>
          </w:p>
        </w:tc>
        <w:tc>
          <w:tcPr>
            <w:tcW w:w="2340" w:type="dxa"/>
            <w:tcBorders>
              <w:top w:val="single" w:sz="4" w:space="0" w:color="auto"/>
              <w:bottom w:val="single" w:sz="4" w:space="0" w:color="auto"/>
            </w:tcBorders>
            <w:shd w:val="clear" w:color="auto" w:fill="auto"/>
          </w:tcPr>
          <w:p w14:paraId="280681CF" w14:textId="77777777" w:rsidR="000E6E1B" w:rsidRPr="00756690" w:rsidRDefault="000E6E1B" w:rsidP="00BE77EA">
            <w:pPr>
              <w:pStyle w:val="TableBullet"/>
            </w:pPr>
            <w:r w:rsidRPr="00756690">
              <w:t>Roles are filled to meet operational needs</w:t>
            </w:r>
          </w:p>
          <w:p w14:paraId="1CAEA20A" w14:textId="77777777" w:rsidR="000E6E1B" w:rsidRPr="00756690" w:rsidRDefault="000E6E1B" w:rsidP="00BE77EA">
            <w:pPr>
              <w:pStyle w:val="TableBullet"/>
            </w:pPr>
            <w:r w:rsidRPr="00756690">
              <w:t>Compliance with policy and procedure</w:t>
            </w:r>
          </w:p>
          <w:p w14:paraId="728B2A2E" w14:textId="2FD23D8F" w:rsidR="000E6E1B" w:rsidRPr="00D57ACA" w:rsidRDefault="000E6E1B" w:rsidP="00BE77EA">
            <w:pPr>
              <w:pStyle w:val="TableBullet"/>
              <w:rPr>
                <w:lang w:val="fr-FR"/>
              </w:rPr>
            </w:pPr>
            <w:r w:rsidRPr="00D57ACA">
              <w:rPr>
                <w:lang w:val="fr-FR"/>
              </w:rPr>
              <w:t xml:space="preserve">Personnel fit for service (fatigue </w:t>
            </w:r>
            <w:r w:rsidR="00917CB6" w:rsidRPr="00D57ACA">
              <w:rPr>
                <w:lang w:val="fr-FR"/>
              </w:rPr>
              <w:t>management</w:t>
            </w:r>
            <w:r w:rsidRPr="00D57ACA">
              <w:rPr>
                <w:lang w:val="fr-FR"/>
              </w:rPr>
              <w:t>)</w:t>
            </w:r>
          </w:p>
          <w:p w14:paraId="5FDE0AAA" w14:textId="5D78F24A" w:rsidR="000E6E1B" w:rsidRPr="00756690" w:rsidRDefault="000E6E1B" w:rsidP="00BE77EA">
            <w:pPr>
              <w:pStyle w:val="TableBullet"/>
            </w:pPr>
            <w:r w:rsidRPr="00756690">
              <w:t xml:space="preserve">Budget managed </w:t>
            </w:r>
            <w:r w:rsidR="00BE77EA">
              <w:t>–</w:t>
            </w:r>
            <w:r w:rsidRPr="00756690">
              <w:t xml:space="preserve"> min</w:t>
            </w:r>
            <w:r w:rsidR="00BE77EA">
              <w:t>imum overtime</w:t>
            </w:r>
          </w:p>
        </w:tc>
        <w:tc>
          <w:tcPr>
            <w:tcW w:w="1821" w:type="dxa"/>
            <w:tcBorders>
              <w:top w:val="single" w:sz="4" w:space="0" w:color="auto"/>
              <w:bottom w:val="single" w:sz="4" w:space="0" w:color="auto"/>
            </w:tcBorders>
            <w:shd w:val="clear" w:color="auto" w:fill="auto"/>
          </w:tcPr>
          <w:p w14:paraId="52E5AB90" w14:textId="2D5B2CDB" w:rsidR="000E6E1B" w:rsidRPr="00756690" w:rsidRDefault="000E6E1B" w:rsidP="00756690">
            <w:pPr>
              <w:pStyle w:val="TableText0"/>
            </w:pPr>
            <w:r w:rsidRPr="00756690">
              <w:t xml:space="preserve">Functional area </w:t>
            </w:r>
            <w:r w:rsidR="00BE77EA">
              <w:t>m</w:t>
            </w:r>
            <w:r w:rsidR="00AC022D" w:rsidRPr="00756690">
              <w:t>anager</w:t>
            </w:r>
          </w:p>
          <w:p w14:paraId="4FF38582" w14:textId="3850ED40" w:rsidR="000E6E1B" w:rsidRPr="00756690" w:rsidRDefault="000E6E1B" w:rsidP="00756690">
            <w:pPr>
              <w:pStyle w:val="TableText0"/>
            </w:pPr>
            <w:r w:rsidRPr="00756690">
              <w:t>Roster clerks in each functional area (</w:t>
            </w:r>
            <w:r w:rsidR="00A63597" w:rsidRPr="00756690">
              <w:t>incident levels</w:t>
            </w:r>
            <w:r w:rsidRPr="00756690">
              <w:t xml:space="preserve"> 2</w:t>
            </w:r>
            <w:r w:rsidR="007A0B6A" w:rsidRPr="00756690">
              <w:t>+)</w:t>
            </w:r>
          </w:p>
        </w:tc>
      </w:tr>
      <w:tr w:rsidR="000E6E1B" w:rsidRPr="00756690" w14:paraId="29505AC0" w14:textId="77777777" w:rsidTr="00722234">
        <w:trPr>
          <w:cantSplit/>
        </w:trPr>
        <w:tc>
          <w:tcPr>
            <w:tcW w:w="1885" w:type="dxa"/>
            <w:tcBorders>
              <w:top w:val="single" w:sz="4" w:space="0" w:color="auto"/>
              <w:bottom w:val="single" w:sz="4" w:space="0" w:color="auto"/>
            </w:tcBorders>
            <w:shd w:val="clear" w:color="auto" w:fill="auto"/>
          </w:tcPr>
          <w:p w14:paraId="06F280AF" w14:textId="553BDFF1" w:rsidR="000E6E1B" w:rsidRPr="00756690" w:rsidRDefault="000E6E1B" w:rsidP="00756690">
            <w:pPr>
              <w:pStyle w:val="TableText0"/>
            </w:pPr>
            <w:r w:rsidRPr="00756690">
              <w:t>Sitreps information collection and collation</w:t>
            </w:r>
          </w:p>
        </w:tc>
        <w:tc>
          <w:tcPr>
            <w:tcW w:w="2970" w:type="dxa"/>
            <w:tcBorders>
              <w:top w:val="single" w:sz="4" w:space="0" w:color="auto"/>
              <w:bottom w:val="single" w:sz="4" w:space="0" w:color="auto"/>
            </w:tcBorders>
            <w:shd w:val="clear" w:color="auto" w:fill="auto"/>
          </w:tcPr>
          <w:p w14:paraId="203F6CE7" w14:textId="5AF47789" w:rsidR="000E6E1B" w:rsidRPr="00756690" w:rsidRDefault="000E6E1B" w:rsidP="00BE77EA">
            <w:pPr>
              <w:pStyle w:val="TableBullet"/>
            </w:pPr>
            <w:r w:rsidRPr="00756690">
              <w:t>AAR</w:t>
            </w:r>
            <w:r w:rsidR="00762A8B">
              <w:t xml:space="preserve"> of</w:t>
            </w:r>
            <w:r w:rsidRPr="00756690">
              <w:t xml:space="preserve"> records</w:t>
            </w:r>
          </w:p>
          <w:p w14:paraId="3C419DA7" w14:textId="77777777" w:rsidR="000E6E1B" w:rsidRPr="00756690" w:rsidRDefault="000E6E1B" w:rsidP="00BE77EA">
            <w:pPr>
              <w:pStyle w:val="TableBullet"/>
            </w:pPr>
            <w:r w:rsidRPr="00756690">
              <w:t>Section sitreps</w:t>
            </w:r>
          </w:p>
          <w:p w14:paraId="3C49F14D" w14:textId="77777777" w:rsidR="000E6E1B" w:rsidRPr="00756690" w:rsidRDefault="000E6E1B" w:rsidP="00BE77EA">
            <w:pPr>
              <w:pStyle w:val="TableBullet"/>
            </w:pPr>
            <w:r w:rsidRPr="00756690">
              <w:t>Sitrep</w:t>
            </w:r>
          </w:p>
          <w:p w14:paraId="7BBAE472" w14:textId="6BA519C3" w:rsidR="000E6E1B" w:rsidRPr="00756690" w:rsidRDefault="000E6E1B" w:rsidP="00BE77EA">
            <w:pPr>
              <w:pStyle w:val="TableBullet"/>
            </w:pPr>
            <w:r w:rsidRPr="00756690">
              <w:t>Reports/analyses/graphics</w:t>
            </w:r>
          </w:p>
          <w:p w14:paraId="4BDAE293" w14:textId="77777777" w:rsidR="000E6E1B" w:rsidRPr="00756690" w:rsidRDefault="000E6E1B" w:rsidP="00BE77EA">
            <w:pPr>
              <w:pStyle w:val="TableBullet"/>
            </w:pPr>
            <w:r w:rsidRPr="00756690">
              <w:t>Visual displays – virtual and printed </w:t>
            </w:r>
          </w:p>
        </w:tc>
        <w:tc>
          <w:tcPr>
            <w:tcW w:w="2340" w:type="dxa"/>
            <w:tcBorders>
              <w:top w:val="single" w:sz="4" w:space="0" w:color="auto"/>
              <w:bottom w:val="single" w:sz="4" w:space="0" w:color="auto"/>
            </w:tcBorders>
            <w:shd w:val="clear" w:color="auto" w:fill="auto"/>
          </w:tcPr>
          <w:p w14:paraId="2732F04E" w14:textId="77777777" w:rsidR="000E6E1B" w:rsidRPr="00756690" w:rsidRDefault="000E6E1B" w:rsidP="00BE77EA">
            <w:pPr>
              <w:pStyle w:val="TableBullet"/>
            </w:pPr>
            <w:r w:rsidRPr="00756690">
              <w:t>Good SSA</w:t>
            </w:r>
          </w:p>
          <w:p w14:paraId="68399E13" w14:textId="77777777" w:rsidR="000E6E1B" w:rsidRPr="00756690" w:rsidRDefault="000E6E1B" w:rsidP="00BE77EA">
            <w:pPr>
              <w:pStyle w:val="TableBullet"/>
            </w:pPr>
            <w:r w:rsidRPr="00756690">
              <w:t>Decision making</w:t>
            </w:r>
          </w:p>
          <w:p w14:paraId="05723285" w14:textId="70344B08" w:rsidR="000E6E1B" w:rsidRPr="00756690" w:rsidRDefault="000E6E1B" w:rsidP="00BE77EA">
            <w:pPr>
              <w:pStyle w:val="TableBullet"/>
            </w:pPr>
            <w:r w:rsidRPr="00756690">
              <w:t xml:space="preserve">Stakeholder </w:t>
            </w:r>
            <w:r w:rsidR="00BF3414" w:rsidRPr="00756690">
              <w:t>management</w:t>
            </w:r>
          </w:p>
          <w:p w14:paraId="0908D636" w14:textId="77777777" w:rsidR="000E6E1B" w:rsidRPr="00756690" w:rsidRDefault="000E6E1B" w:rsidP="00BE77EA">
            <w:pPr>
              <w:pStyle w:val="TableBullet"/>
            </w:pPr>
            <w:r w:rsidRPr="00756690">
              <w:t>Planning based on reliable validated information</w:t>
            </w:r>
          </w:p>
        </w:tc>
        <w:tc>
          <w:tcPr>
            <w:tcW w:w="1821" w:type="dxa"/>
            <w:tcBorders>
              <w:top w:val="single" w:sz="4" w:space="0" w:color="auto"/>
              <w:bottom w:val="single" w:sz="4" w:space="0" w:color="auto"/>
            </w:tcBorders>
            <w:shd w:val="clear" w:color="auto" w:fill="auto"/>
          </w:tcPr>
          <w:p w14:paraId="74F53C1F" w14:textId="77777777" w:rsidR="000E6E1B" w:rsidRPr="00756690" w:rsidRDefault="000E6E1B" w:rsidP="00756690">
            <w:pPr>
              <w:pStyle w:val="TableText0"/>
            </w:pPr>
            <w:r w:rsidRPr="00756690">
              <w:t>Situation Officer</w:t>
            </w:r>
          </w:p>
          <w:p w14:paraId="4FE1ED10" w14:textId="15D4B074" w:rsidR="00325E51" w:rsidRPr="00756690" w:rsidRDefault="00325E51" w:rsidP="00756690">
            <w:pPr>
              <w:pStyle w:val="TableText0"/>
            </w:pPr>
            <w:r w:rsidRPr="00756690">
              <w:t>Planning</w:t>
            </w:r>
          </w:p>
        </w:tc>
      </w:tr>
      <w:tr w:rsidR="000E6E1B" w:rsidRPr="00756690" w14:paraId="43971814" w14:textId="77777777" w:rsidTr="00722234">
        <w:trPr>
          <w:cantSplit/>
        </w:trPr>
        <w:tc>
          <w:tcPr>
            <w:tcW w:w="1885" w:type="dxa"/>
            <w:tcBorders>
              <w:top w:val="single" w:sz="4" w:space="0" w:color="auto"/>
              <w:bottom w:val="single" w:sz="4" w:space="0" w:color="auto"/>
            </w:tcBorders>
            <w:shd w:val="clear" w:color="auto" w:fill="auto"/>
          </w:tcPr>
          <w:p w14:paraId="0EAA07F0" w14:textId="212ECDDF" w:rsidR="000E6E1B" w:rsidRPr="00756690" w:rsidRDefault="000E6E1B" w:rsidP="00756690">
            <w:pPr>
              <w:pStyle w:val="TableText0"/>
            </w:pPr>
            <w:r w:rsidRPr="00756690">
              <w:t>Staff/</w:t>
            </w:r>
            <w:r w:rsidR="00BE77EA">
              <w:t>p</w:t>
            </w:r>
            <w:r w:rsidRPr="00756690">
              <w:t>ersonnel/</w:t>
            </w:r>
          </w:p>
          <w:p w14:paraId="2BFF348A" w14:textId="6509FE70" w:rsidR="000E6E1B" w:rsidRPr="00756690" w:rsidRDefault="00BE77EA" w:rsidP="00756690">
            <w:pPr>
              <w:pStyle w:val="TableText0"/>
            </w:pPr>
            <w:r>
              <w:t>h</w:t>
            </w:r>
            <w:r w:rsidR="000E6E1B" w:rsidRPr="00756690">
              <w:t xml:space="preserve">uman </w:t>
            </w:r>
            <w:r>
              <w:t>r</w:t>
            </w:r>
            <w:r w:rsidR="000E6E1B" w:rsidRPr="00756690">
              <w:t>esources</w:t>
            </w:r>
          </w:p>
        </w:tc>
        <w:tc>
          <w:tcPr>
            <w:tcW w:w="2970" w:type="dxa"/>
            <w:tcBorders>
              <w:top w:val="single" w:sz="4" w:space="0" w:color="auto"/>
              <w:bottom w:val="single" w:sz="4" w:space="0" w:color="auto"/>
            </w:tcBorders>
            <w:shd w:val="clear" w:color="auto" w:fill="auto"/>
          </w:tcPr>
          <w:p w14:paraId="3189FCFE" w14:textId="77777777" w:rsidR="000E6E1B" w:rsidRPr="00756690" w:rsidRDefault="000E6E1B" w:rsidP="00BE77EA">
            <w:pPr>
              <w:pStyle w:val="TableBullet"/>
            </w:pPr>
            <w:r w:rsidRPr="00756690">
              <w:t>Personnel register</w:t>
            </w:r>
          </w:p>
          <w:p w14:paraId="15BB6508" w14:textId="004B928F" w:rsidR="000E6E1B" w:rsidRPr="00756690" w:rsidRDefault="000E6E1B" w:rsidP="00BE77EA">
            <w:pPr>
              <w:pStyle w:val="TableBullet"/>
            </w:pPr>
            <w:r w:rsidRPr="00756690">
              <w:t>Personal file for each</w:t>
            </w:r>
            <w:r w:rsidR="00722234">
              <w:t xml:space="preserve"> staff member</w:t>
            </w:r>
          </w:p>
          <w:p w14:paraId="511FA5B1" w14:textId="77777777" w:rsidR="000E6E1B" w:rsidRPr="00756690" w:rsidRDefault="000E6E1B" w:rsidP="00756690">
            <w:pPr>
              <w:pStyle w:val="TableText0"/>
            </w:pPr>
            <w:r w:rsidRPr="00756690">
              <w:t> </w:t>
            </w:r>
          </w:p>
        </w:tc>
        <w:tc>
          <w:tcPr>
            <w:tcW w:w="2340" w:type="dxa"/>
            <w:tcBorders>
              <w:top w:val="single" w:sz="4" w:space="0" w:color="auto"/>
              <w:bottom w:val="single" w:sz="4" w:space="0" w:color="auto"/>
            </w:tcBorders>
            <w:shd w:val="clear" w:color="auto" w:fill="auto"/>
          </w:tcPr>
          <w:p w14:paraId="46246392" w14:textId="77777777" w:rsidR="000E6E1B" w:rsidRPr="00756690" w:rsidRDefault="000E6E1B" w:rsidP="00BE77EA">
            <w:pPr>
              <w:pStyle w:val="TableBullet"/>
            </w:pPr>
            <w:r w:rsidRPr="00756690">
              <w:t>Management of personnel</w:t>
            </w:r>
          </w:p>
          <w:p w14:paraId="7D0CC3EF" w14:textId="77777777" w:rsidR="000E6E1B" w:rsidRPr="00756690" w:rsidRDefault="000E6E1B" w:rsidP="00BE77EA">
            <w:pPr>
              <w:pStyle w:val="TableBullet"/>
            </w:pPr>
            <w:r w:rsidRPr="00756690">
              <w:t>Right person in right role at right time</w:t>
            </w:r>
          </w:p>
          <w:p w14:paraId="6DC5973D" w14:textId="1499BA56" w:rsidR="000E6E1B" w:rsidRPr="00756690" w:rsidRDefault="000E6E1B" w:rsidP="00BE77EA">
            <w:pPr>
              <w:pStyle w:val="TableBullet"/>
            </w:pPr>
            <w:r w:rsidRPr="00756690">
              <w:t xml:space="preserve">WHS outcomes </w:t>
            </w:r>
            <w:r w:rsidR="00BE77EA">
              <w:t>(</w:t>
            </w:r>
            <w:r w:rsidRPr="00756690">
              <w:t>eg</w:t>
            </w:r>
            <w:r w:rsidR="00BE77EA">
              <w:t> </w:t>
            </w:r>
            <w:r w:rsidRPr="00756690">
              <w:t>notification of next of kin, allergies</w:t>
            </w:r>
            <w:r w:rsidR="00BE77EA">
              <w:t>)</w:t>
            </w:r>
          </w:p>
        </w:tc>
        <w:tc>
          <w:tcPr>
            <w:tcW w:w="1821" w:type="dxa"/>
            <w:tcBorders>
              <w:top w:val="single" w:sz="4" w:space="0" w:color="auto"/>
              <w:bottom w:val="single" w:sz="4" w:space="0" w:color="auto"/>
            </w:tcBorders>
            <w:shd w:val="clear" w:color="auto" w:fill="auto"/>
          </w:tcPr>
          <w:p w14:paraId="6A31C11F" w14:textId="312A279A" w:rsidR="000E6E1B" w:rsidRPr="00756690" w:rsidRDefault="000E6E1B" w:rsidP="00756690">
            <w:pPr>
              <w:pStyle w:val="TableText0"/>
            </w:pPr>
            <w:r w:rsidRPr="00756690">
              <w:t>Human Resources Officer/Staff Officer</w:t>
            </w:r>
          </w:p>
          <w:p w14:paraId="75B1DDCE" w14:textId="6DEBC7DE" w:rsidR="00325E51" w:rsidRPr="00756690" w:rsidRDefault="00325E51" w:rsidP="00756690">
            <w:pPr>
              <w:pStyle w:val="TableText0"/>
            </w:pPr>
            <w:r w:rsidRPr="00756690">
              <w:t>Logistics</w:t>
            </w:r>
          </w:p>
        </w:tc>
      </w:tr>
      <w:tr w:rsidR="000E6E1B" w:rsidRPr="00756690" w14:paraId="02AB61EF" w14:textId="77777777" w:rsidTr="00722234">
        <w:trPr>
          <w:cantSplit/>
          <w:trHeight w:val="620"/>
        </w:trPr>
        <w:tc>
          <w:tcPr>
            <w:tcW w:w="1885" w:type="dxa"/>
            <w:tcBorders>
              <w:top w:val="single" w:sz="4" w:space="0" w:color="auto"/>
              <w:bottom w:val="single" w:sz="4" w:space="0" w:color="auto"/>
            </w:tcBorders>
            <w:shd w:val="clear" w:color="auto" w:fill="auto"/>
          </w:tcPr>
          <w:p w14:paraId="16839501" w14:textId="393E1530" w:rsidR="000E6E1B" w:rsidRPr="00756690" w:rsidRDefault="000E6E1B" w:rsidP="00756690">
            <w:pPr>
              <w:pStyle w:val="TableText0"/>
            </w:pPr>
            <w:r w:rsidRPr="00756690">
              <w:t>Surveillance information system</w:t>
            </w:r>
          </w:p>
        </w:tc>
        <w:tc>
          <w:tcPr>
            <w:tcW w:w="2970" w:type="dxa"/>
            <w:tcBorders>
              <w:top w:val="single" w:sz="4" w:space="0" w:color="auto"/>
              <w:bottom w:val="single" w:sz="4" w:space="0" w:color="auto"/>
            </w:tcBorders>
            <w:shd w:val="clear" w:color="auto" w:fill="auto"/>
          </w:tcPr>
          <w:p w14:paraId="50F803C1" w14:textId="7A2A35F2" w:rsidR="000E6E1B" w:rsidRPr="00756690" w:rsidRDefault="000E6E1B" w:rsidP="00BE77EA">
            <w:pPr>
              <w:pStyle w:val="TableBullet"/>
            </w:pPr>
            <w:r w:rsidRPr="00756690">
              <w:t xml:space="preserve">See </w:t>
            </w:r>
            <w:r w:rsidR="00BE77EA">
              <w:t>‘</w:t>
            </w:r>
            <w:r w:rsidRPr="00756690">
              <w:t xml:space="preserve">Case </w:t>
            </w:r>
            <w:r w:rsidR="00BE77EA">
              <w:t>m</w:t>
            </w:r>
            <w:r w:rsidR="00BF3414" w:rsidRPr="00756690">
              <w:t xml:space="preserve">anagement </w:t>
            </w:r>
            <w:r w:rsidR="00BE77EA">
              <w:t>s</w:t>
            </w:r>
            <w:r w:rsidRPr="00756690">
              <w:t>ystem</w:t>
            </w:r>
            <w:r w:rsidR="00BE77EA">
              <w:t>’</w:t>
            </w:r>
            <w:r w:rsidRPr="00756690">
              <w:t xml:space="preserve">, </w:t>
            </w:r>
            <w:r w:rsidR="00762A8B">
              <w:t>‘</w:t>
            </w:r>
            <w:r w:rsidR="00762A8B" w:rsidRPr="00756690">
              <w:t>Field team, dispatch, return and information processing</w:t>
            </w:r>
            <w:r w:rsidR="00762A8B">
              <w:t>’</w:t>
            </w:r>
            <w:r w:rsidRPr="00756690">
              <w:t>, and Tracing </w:t>
            </w:r>
            <w:r w:rsidR="00762A8B" w:rsidRPr="00756690">
              <w:t>information system</w:t>
            </w:r>
            <w:r w:rsidR="00762A8B">
              <w:t>’</w:t>
            </w:r>
          </w:p>
        </w:tc>
        <w:tc>
          <w:tcPr>
            <w:tcW w:w="2340" w:type="dxa"/>
            <w:tcBorders>
              <w:top w:val="single" w:sz="4" w:space="0" w:color="auto"/>
              <w:bottom w:val="single" w:sz="4" w:space="0" w:color="auto"/>
            </w:tcBorders>
            <w:shd w:val="clear" w:color="auto" w:fill="auto"/>
          </w:tcPr>
          <w:p w14:paraId="55B4EC63" w14:textId="77777777" w:rsidR="000E6E1B" w:rsidRPr="00756690" w:rsidRDefault="000E6E1B" w:rsidP="00756690">
            <w:pPr>
              <w:pStyle w:val="TableText0"/>
            </w:pPr>
            <w:r w:rsidRPr="00756690">
              <w:t> </w:t>
            </w:r>
          </w:p>
        </w:tc>
        <w:tc>
          <w:tcPr>
            <w:tcW w:w="1821" w:type="dxa"/>
            <w:tcBorders>
              <w:top w:val="single" w:sz="4" w:space="0" w:color="auto"/>
              <w:bottom w:val="single" w:sz="4" w:space="0" w:color="auto"/>
            </w:tcBorders>
            <w:shd w:val="clear" w:color="auto" w:fill="auto"/>
          </w:tcPr>
          <w:p w14:paraId="675042AD" w14:textId="331CB5CB" w:rsidR="000E6E1B" w:rsidRPr="00756690" w:rsidRDefault="000E6E1B" w:rsidP="00756690">
            <w:pPr>
              <w:pStyle w:val="TableText0"/>
            </w:pPr>
            <w:r w:rsidRPr="00756690">
              <w:t>Surveillance Coordinator</w:t>
            </w:r>
          </w:p>
          <w:p w14:paraId="18DD73AD" w14:textId="26081EF1" w:rsidR="00325E51" w:rsidRPr="00756690" w:rsidRDefault="00325E51" w:rsidP="00756690">
            <w:pPr>
              <w:pStyle w:val="TableText0"/>
            </w:pPr>
            <w:r w:rsidRPr="00756690">
              <w:t>Operations</w:t>
            </w:r>
          </w:p>
        </w:tc>
      </w:tr>
      <w:tr w:rsidR="000E6E1B" w:rsidRPr="00756690" w14:paraId="7638E98E" w14:textId="77777777" w:rsidTr="00722234">
        <w:trPr>
          <w:cantSplit/>
        </w:trPr>
        <w:tc>
          <w:tcPr>
            <w:tcW w:w="1885" w:type="dxa"/>
            <w:tcBorders>
              <w:top w:val="single" w:sz="4" w:space="0" w:color="auto"/>
              <w:bottom w:val="single" w:sz="4" w:space="0" w:color="auto"/>
            </w:tcBorders>
            <w:shd w:val="clear" w:color="auto" w:fill="auto"/>
          </w:tcPr>
          <w:p w14:paraId="03D8B624" w14:textId="1304B053" w:rsidR="000E6E1B" w:rsidRPr="00756690" w:rsidRDefault="000E6E1B" w:rsidP="00756690">
            <w:pPr>
              <w:pStyle w:val="TableText0"/>
            </w:pPr>
            <w:r w:rsidRPr="00756690">
              <w:t xml:space="preserve">Task/resource specific </w:t>
            </w:r>
            <w:r w:rsidR="00BE77EA">
              <w:t>(</w:t>
            </w:r>
            <w:r w:rsidRPr="00756690">
              <w:t>eg</w:t>
            </w:r>
            <w:r w:rsidR="00BE77EA">
              <w:t> </w:t>
            </w:r>
            <w:r w:rsidRPr="00756690">
              <w:t>aircraft tasking</w:t>
            </w:r>
            <w:r w:rsidR="00BE77EA">
              <w:t>)</w:t>
            </w:r>
          </w:p>
        </w:tc>
        <w:tc>
          <w:tcPr>
            <w:tcW w:w="2970" w:type="dxa"/>
            <w:tcBorders>
              <w:top w:val="single" w:sz="4" w:space="0" w:color="auto"/>
              <w:bottom w:val="single" w:sz="4" w:space="0" w:color="auto"/>
            </w:tcBorders>
            <w:shd w:val="clear" w:color="auto" w:fill="auto"/>
          </w:tcPr>
          <w:p w14:paraId="2BD02BEB" w14:textId="77777777" w:rsidR="000E6E1B" w:rsidRPr="00756690" w:rsidRDefault="000E6E1B" w:rsidP="00BE77EA">
            <w:pPr>
              <w:pStyle w:val="TableBullet"/>
            </w:pPr>
            <w:r w:rsidRPr="00756690">
              <w:t>Task register</w:t>
            </w:r>
          </w:p>
          <w:p w14:paraId="6C31A09D" w14:textId="77777777" w:rsidR="000E6E1B" w:rsidRPr="00756690" w:rsidRDefault="000E6E1B" w:rsidP="00BE77EA">
            <w:pPr>
              <w:pStyle w:val="TableBullet"/>
            </w:pPr>
            <w:r w:rsidRPr="00756690">
              <w:t>Task instruction for each task</w:t>
            </w:r>
          </w:p>
          <w:p w14:paraId="46EB9837" w14:textId="77777777" w:rsidR="000E6E1B" w:rsidRPr="00756690" w:rsidRDefault="000E6E1B" w:rsidP="00BE77EA">
            <w:pPr>
              <w:pStyle w:val="TableBullet"/>
            </w:pPr>
            <w:r w:rsidRPr="00756690">
              <w:t>Approval(s) for each task</w:t>
            </w:r>
          </w:p>
          <w:p w14:paraId="573B4AE0" w14:textId="77777777" w:rsidR="000E6E1B" w:rsidRPr="00756690" w:rsidRDefault="000E6E1B" w:rsidP="00BE77EA">
            <w:pPr>
              <w:pStyle w:val="TableBullet"/>
            </w:pPr>
            <w:r w:rsidRPr="00756690">
              <w:t>Task tracking records</w:t>
            </w:r>
          </w:p>
        </w:tc>
        <w:tc>
          <w:tcPr>
            <w:tcW w:w="2340" w:type="dxa"/>
            <w:tcBorders>
              <w:top w:val="single" w:sz="4" w:space="0" w:color="auto"/>
              <w:bottom w:val="single" w:sz="4" w:space="0" w:color="auto"/>
            </w:tcBorders>
            <w:shd w:val="clear" w:color="auto" w:fill="auto"/>
          </w:tcPr>
          <w:p w14:paraId="18B44580" w14:textId="35ED1068" w:rsidR="000E6E1B" w:rsidRPr="00756690" w:rsidRDefault="000E6E1B" w:rsidP="00BE77EA">
            <w:pPr>
              <w:pStyle w:val="TableBullet"/>
            </w:pPr>
            <w:r w:rsidRPr="00756690">
              <w:t>Response does what it says it is doing</w:t>
            </w:r>
            <w:r w:rsidR="00E90860" w:rsidRPr="00756690">
              <w:t xml:space="preserve"> </w:t>
            </w:r>
            <w:r w:rsidR="00BE77EA">
              <w:t>or</w:t>
            </w:r>
            <w:r w:rsidR="00E90860" w:rsidRPr="00756690">
              <w:t xml:space="preserve"> </w:t>
            </w:r>
            <w:r w:rsidRPr="00756690">
              <w:t>will do</w:t>
            </w:r>
          </w:p>
          <w:p w14:paraId="56DAF5F9" w14:textId="77777777" w:rsidR="000E6E1B" w:rsidRPr="00756690" w:rsidRDefault="000E6E1B" w:rsidP="00BE77EA">
            <w:pPr>
              <w:pStyle w:val="TableBullet"/>
            </w:pPr>
            <w:r w:rsidRPr="00756690">
              <w:t>Good SSA</w:t>
            </w:r>
          </w:p>
          <w:p w14:paraId="291B2D52" w14:textId="629B3EB8" w:rsidR="000E6E1B" w:rsidRPr="00756690" w:rsidRDefault="00BE77EA" w:rsidP="00BE77EA">
            <w:pPr>
              <w:pStyle w:val="TableBullet"/>
            </w:pPr>
            <w:r>
              <w:t>B</w:t>
            </w:r>
            <w:r w:rsidR="000E6E1B" w:rsidRPr="00756690">
              <w:t>udget</w:t>
            </w:r>
            <w:r>
              <w:t xml:space="preserve"> met</w:t>
            </w:r>
          </w:p>
        </w:tc>
        <w:tc>
          <w:tcPr>
            <w:tcW w:w="1821" w:type="dxa"/>
            <w:tcBorders>
              <w:top w:val="single" w:sz="4" w:space="0" w:color="auto"/>
              <w:bottom w:val="single" w:sz="4" w:space="0" w:color="auto"/>
            </w:tcBorders>
            <w:shd w:val="clear" w:color="auto" w:fill="auto"/>
          </w:tcPr>
          <w:p w14:paraId="12A670CB" w14:textId="78C209FB" w:rsidR="000E6E1B" w:rsidRPr="00756690" w:rsidRDefault="000E6E1B" w:rsidP="00756690">
            <w:pPr>
              <w:pStyle w:val="TableText0"/>
            </w:pPr>
            <w:r w:rsidRPr="00756690">
              <w:t>Resource tracking</w:t>
            </w:r>
          </w:p>
          <w:p w14:paraId="1641D299" w14:textId="33BCCD6A" w:rsidR="000E6E1B" w:rsidRPr="00756690" w:rsidRDefault="000E6E1B" w:rsidP="00756690">
            <w:pPr>
              <w:pStyle w:val="TableText0"/>
            </w:pPr>
            <w:r w:rsidRPr="00756690">
              <w:t>Field coordinators (</w:t>
            </w:r>
            <w:r w:rsidR="00325E51" w:rsidRPr="00756690">
              <w:t>O</w:t>
            </w:r>
            <w:r w:rsidRPr="00756690">
              <w:t xml:space="preserve">perations and </w:t>
            </w:r>
            <w:r w:rsidR="00325E51" w:rsidRPr="00756690">
              <w:t>L</w:t>
            </w:r>
            <w:r w:rsidRPr="00756690">
              <w:t>ogistics)</w:t>
            </w:r>
          </w:p>
        </w:tc>
      </w:tr>
      <w:tr w:rsidR="000E6E1B" w:rsidRPr="00756690" w14:paraId="10A1E357" w14:textId="77777777" w:rsidTr="00722234">
        <w:trPr>
          <w:cantSplit/>
          <w:trHeight w:val="557"/>
        </w:trPr>
        <w:tc>
          <w:tcPr>
            <w:tcW w:w="1885" w:type="dxa"/>
            <w:tcBorders>
              <w:top w:val="single" w:sz="4" w:space="0" w:color="auto"/>
              <w:bottom w:val="single" w:sz="4" w:space="0" w:color="auto"/>
            </w:tcBorders>
            <w:shd w:val="clear" w:color="auto" w:fill="auto"/>
          </w:tcPr>
          <w:p w14:paraId="0064F2B6" w14:textId="4705ED07" w:rsidR="000E6E1B" w:rsidRPr="00756690" w:rsidRDefault="000E6E1B" w:rsidP="00756690">
            <w:pPr>
              <w:pStyle w:val="TableText0"/>
            </w:pPr>
            <w:r w:rsidRPr="00756690">
              <w:t>Tracing information system</w:t>
            </w:r>
          </w:p>
        </w:tc>
        <w:tc>
          <w:tcPr>
            <w:tcW w:w="2970" w:type="dxa"/>
            <w:tcBorders>
              <w:top w:val="single" w:sz="4" w:space="0" w:color="auto"/>
              <w:bottom w:val="single" w:sz="4" w:space="0" w:color="auto"/>
            </w:tcBorders>
            <w:shd w:val="clear" w:color="auto" w:fill="auto"/>
          </w:tcPr>
          <w:p w14:paraId="3BBFE8FD" w14:textId="505BE637" w:rsidR="000E6E1B" w:rsidRPr="00756690" w:rsidRDefault="000E6E1B" w:rsidP="00756690">
            <w:pPr>
              <w:pStyle w:val="TableText0"/>
            </w:pPr>
            <w:r w:rsidRPr="00756690">
              <w:t xml:space="preserve"> See </w:t>
            </w:r>
            <w:r w:rsidR="00BE77EA">
              <w:t>‘</w:t>
            </w:r>
            <w:r w:rsidRPr="00756690">
              <w:t xml:space="preserve">Case </w:t>
            </w:r>
            <w:r w:rsidR="00BE77EA">
              <w:t>m</w:t>
            </w:r>
            <w:r w:rsidR="00BF3414" w:rsidRPr="00756690">
              <w:t>anagement</w:t>
            </w:r>
            <w:r w:rsidRPr="00756690">
              <w:t xml:space="preserve"> </w:t>
            </w:r>
            <w:r w:rsidR="00BE77EA">
              <w:t>s</w:t>
            </w:r>
            <w:r w:rsidRPr="00756690">
              <w:t>ystem</w:t>
            </w:r>
            <w:r w:rsidR="00BE77EA">
              <w:t>’</w:t>
            </w:r>
          </w:p>
        </w:tc>
        <w:tc>
          <w:tcPr>
            <w:tcW w:w="2340" w:type="dxa"/>
            <w:tcBorders>
              <w:top w:val="single" w:sz="4" w:space="0" w:color="auto"/>
              <w:bottom w:val="single" w:sz="4" w:space="0" w:color="auto"/>
            </w:tcBorders>
            <w:shd w:val="clear" w:color="auto" w:fill="auto"/>
          </w:tcPr>
          <w:p w14:paraId="4C5A0695" w14:textId="77777777" w:rsidR="000E6E1B" w:rsidRPr="00756690" w:rsidRDefault="000E6E1B" w:rsidP="00756690">
            <w:pPr>
              <w:pStyle w:val="TableText0"/>
            </w:pPr>
          </w:p>
        </w:tc>
        <w:tc>
          <w:tcPr>
            <w:tcW w:w="1821" w:type="dxa"/>
            <w:tcBorders>
              <w:top w:val="single" w:sz="4" w:space="0" w:color="auto"/>
              <w:bottom w:val="single" w:sz="4" w:space="0" w:color="auto"/>
            </w:tcBorders>
            <w:shd w:val="clear" w:color="auto" w:fill="auto"/>
          </w:tcPr>
          <w:p w14:paraId="2A623309" w14:textId="709BBD32" w:rsidR="000E6E1B" w:rsidRPr="00756690" w:rsidRDefault="000E6E1B" w:rsidP="00756690">
            <w:pPr>
              <w:pStyle w:val="TableText0"/>
            </w:pPr>
            <w:r w:rsidRPr="00756690">
              <w:t>Tracing Coordinator</w:t>
            </w:r>
          </w:p>
          <w:p w14:paraId="34BB4DBC" w14:textId="63A52E56" w:rsidR="00325E51" w:rsidRPr="00756690" w:rsidRDefault="00325E51" w:rsidP="00756690">
            <w:pPr>
              <w:pStyle w:val="TableText0"/>
            </w:pPr>
            <w:r w:rsidRPr="00756690">
              <w:t>Operations</w:t>
            </w:r>
          </w:p>
        </w:tc>
      </w:tr>
      <w:tr w:rsidR="000E6E1B" w:rsidRPr="00756690" w14:paraId="20EF3C43" w14:textId="77777777" w:rsidTr="00722234">
        <w:trPr>
          <w:cantSplit/>
          <w:trHeight w:val="710"/>
        </w:trPr>
        <w:tc>
          <w:tcPr>
            <w:tcW w:w="1885" w:type="dxa"/>
            <w:tcBorders>
              <w:top w:val="single" w:sz="4" w:space="0" w:color="auto"/>
              <w:bottom w:val="single" w:sz="4" w:space="0" w:color="auto"/>
            </w:tcBorders>
            <w:shd w:val="clear" w:color="auto" w:fill="auto"/>
          </w:tcPr>
          <w:p w14:paraId="387440EB" w14:textId="21B6129D" w:rsidR="000E6E1B" w:rsidRPr="00756690" w:rsidRDefault="000E6E1B" w:rsidP="00756690">
            <w:pPr>
              <w:pStyle w:val="TableText0"/>
            </w:pPr>
            <w:r w:rsidRPr="00756690">
              <w:t>Travel register</w:t>
            </w:r>
          </w:p>
        </w:tc>
        <w:tc>
          <w:tcPr>
            <w:tcW w:w="2970" w:type="dxa"/>
            <w:tcBorders>
              <w:top w:val="single" w:sz="4" w:space="0" w:color="auto"/>
              <w:bottom w:val="single" w:sz="4" w:space="0" w:color="auto"/>
            </w:tcBorders>
            <w:shd w:val="clear" w:color="auto" w:fill="auto"/>
          </w:tcPr>
          <w:p w14:paraId="5EEB540E" w14:textId="778CF70C" w:rsidR="000E6E1B" w:rsidRPr="00756690" w:rsidRDefault="000E6E1B" w:rsidP="00BE77EA">
            <w:pPr>
              <w:pStyle w:val="TableBullet"/>
            </w:pPr>
            <w:r w:rsidRPr="00756690">
              <w:t>Travel list</w:t>
            </w:r>
            <w:r w:rsidR="00BE77EA">
              <w:t>,</w:t>
            </w:r>
            <w:r w:rsidRPr="00756690">
              <w:t xml:space="preserve"> including providers</w:t>
            </w:r>
          </w:p>
          <w:p w14:paraId="05049161" w14:textId="77777777" w:rsidR="000E6E1B" w:rsidRPr="00756690" w:rsidRDefault="000E6E1B" w:rsidP="00BE77EA">
            <w:pPr>
              <w:pStyle w:val="TableBullet"/>
            </w:pPr>
            <w:r w:rsidRPr="00756690">
              <w:t>List of travellers and travel arrangements for each</w:t>
            </w:r>
          </w:p>
        </w:tc>
        <w:tc>
          <w:tcPr>
            <w:tcW w:w="2340" w:type="dxa"/>
            <w:tcBorders>
              <w:top w:val="single" w:sz="4" w:space="0" w:color="auto"/>
              <w:bottom w:val="single" w:sz="4" w:space="0" w:color="auto"/>
            </w:tcBorders>
            <w:shd w:val="clear" w:color="auto" w:fill="auto"/>
          </w:tcPr>
          <w:p w14:paraId="1B49E61F" w14:textId="77777777" w:rsidR="000E6E1B" w:rsidRPr="00756690" w:rsidRDefault="000E6E1B" w:rsidP="00BE77EA">
            <w:pPr>
              <w:pStyle w:val="TableBullet"/>
            </w:pPr>
            <w:r w:rsidRPr="00756690">
              <w:t>Personnel travel on time</w:t>
            </w:r>
          </w:p>
          <w:p w14:paraId="7D0DE95B" w14:textId="77777777" w:rsidR="000E6E1B" w:rsidRPr="00756690" w:rsidRDefault="000E6E1B" w:rsidP="00BE77EA">
            <w:pPr>
              <w:pStyle w:val="TableBullet"/>
            </w:pPr>
            <w:r w:rsidRPr="00756690">
              <w:t>Costs for travel </w:t>
            </w:r>
          </w:p>
        </w:tc>
        <w:tc>
          <w:tcPr>
            <w:tcW w:w="1821" w:type="dxa"/>
            <w:tcBorders>
              <w:top w:val="single" w:sz="4" w:space="0" w:color="auto"/>
              <w:bottom w:val="single" w:sz="4" w:space="0" w:color="auto"/>
            </w:tcBorders>
            <w:shd w:val="clear" w:color="auto" w:fill="auto"/>
          </w:tcPr>
          <w:p w14:paraId="4ADED31B" w14:textId="60F4D6CB" w:rsidR="000E6E1B" w:rsidRPr="00756690" w:rsidRDefault="000E6E1B" w:rsidP="00756690">
            <w:pPr>
              <w:pStyle w:val="TableText0"/>
            </w:pPr>
            <w:r w:rsidRPr="00756690">
              <w:t>Travel Officer</w:t>
            </w:r>
          </w:p>
          <w:p w14:paraId="34BBBA84" w14:textId="5C5BF882" w:rsidR="00325E51" w:rsidRPr="00756690" w:rsidRDefault="00325E51" w:rsidP="00756690">
            <w:pPr>
              <w:pStyle w:val="TableText0"/>
            </w:pPr>
            <w:r w:rsidRPr="00756690">
              <w:t>Logistics</w:t>
            </w:r>
          </w:p>
        </w:tc>
      </w:tr>
      <w:tr w:rsidR="000E6E1B" w:rsidRPr="00756690" w14:paraId="6604AA79" w14:textId="77777777" w:rsidTr="00722234">
        <w:trPr>
          <w:cantSplit/>
        </w:trPr>
        <w:tc>
          <w:tcPr>
            <w:tcW w:w="1885" w:type="dxa"/>
            <w:tcBorders>
              <w:top w:val="single" w:sz="4" w:space="0" w:color="auto"/>
              <w:bottom w:val="single" w:sz="4" w:space="0" w:color="auto"/>
            </w:tcBorders>
            <w:shd w:val="clear" w:color="auto" w:fill="auto"/>
          </w:tcPr>
          <w:p w14:paraId="136AD3E9" w14:textId="2BE107B5" w:rsidR="000E6E1B" w:rsidRPr="00756690" w:rsidRDefault="000E6E1B" w:rsidP="00756690">
            <w:pPr>
              <w:pStyle w:val="TableText0"/>
            </w:pPr>
            <w:r w:rsidRPr="00756690">
              <w:t>Vehicle register</w:t>
            </w:r>
          </w:p>
        </w:tc>
        <w:tc>
          <w:tcPr>
            <w:tcW w:w="2970" w:type="dxa"/>
            <w:tcBorders>
              <w:top w:val="single" w:sz="4" w:space="0" w:color="auto"/>
              <w:bottom w:val="single" w:sz="4" w:space="0" w:color="auto"/>
            </w:tcBorders>
            <w:shd w:val="clear" w:color="auto" w:fill="auto"/>
          </w:tcPr>
          <w:p w14:paraId="15535521" w14:textId="2E66B8AF" w:rsidR="000E6E1B" w:rsidRPr="00756690" w:rsidRDefault="000E6E1B" w:rsidP="00BE77EA">
            <w:pPr>
              <w:pStyle w:val="TableBullet"/>
            </w:pPr>
            <w:r w:rsidRPr="00756690">
              <w:t>Vehicle list</w:t>
            </w:r>
            <w:r w:rsidR="00BE77EA">
              <w:t xml:space="preserve">, </w:t>
            </w:r>
            <w:r w:rsidRPr="00756690">
              <w:t>includ</w:t>
            </w:r>
            <w:r w:rsidR="00BE77EA">
              <w:t xml:space="preserve">ing </w:t>
            </w:r>
            <w:r w:rsidRPr="00756690">
              <w:t>providers</w:t>
            </w:r>
          </w:p>
          <w:p w14:paraId="38F5845E" w14:textId="77777777" w:rsidR="000E6E1B" w:rsidRPr="00756690" w:rsidRDefault="000E6E1B" w:rsidP="00BE77EA">
            <w:pPr>
              <w:pStyle w:val="TableBullet"/>
            </w:pPr>
            <w:r w:rsidRPr="00756690">
              <w:t>Audit report</w:t>
            </w:r>
          </w:p>
          <w:p w14:paraId="3DE3D886" w14:textId="77777777" w:rsidR="000E6E1B" w:rsidRPr="00756690" w:rsidRDefault="000E6E1B" w:rsidP="00BE77EA">
            <w:pPr>
              <w:pStyle w:val="TableBullet"/>
            </w:pPr>
            <w:r w:rsidRPr="00756690">
              <w:t>Resource tracking system</w:t>
            </w:r>
          </w:p>
          <w:p w14:paraId="68F6665E" w14:textId="77777777" w:rsidR="000E6E1B" w:rsidRPr="00756690" w:rsidRDefault="000E6E1B" w:rsidP="00BE77EA">
            <w:pPr>
              <w:pStyle w:val="TableBullet"/>
            </w:pPr>
            <w:r w:rsidRPr="00756690">
              <w:t>Vehicle logs</w:t>
            </w:r>
          </w:p>
        </w:tc>
        <w:tc>
          <w:tcPr>
            <w:tcW w:w="2340" w:type="dxa"/>
            <w:tcBorders>
              <w:top w:val="single" w:sz="4" w:space="0" w:color="auto"/>
              <w:bottom w:val="single" w:sz="4" w:space="0" w:color="auto"/>
            </w:tcBorders>
            <w:shd w:val="clear" w:color="auto" w:fill="auto"/>
          </w:tcPr>
          <w:p w14:paraId="4FC20E3F" w14:textId="77777777" w:rsidR="000E6E1B" w:rsidRPr="00756690" w:rsidRDefault="000E6E1B" w:rsidP="00BE77EA">
            <w:pPr>
              <w:pStyle w:val="TableBullet"/>
            </w:pPr>
            <w:r w:rsidRPr="00756690">
              <w:t xml:space="preserve">Vehicle are tracked </w:t>
            </w:r>
          </w:p>
          <w:p w14:paraId="62A96884" w14:textId="77777777" w:rsidR="000E6E1B" w:rsidRPr="00756690" w:rsidRDefault="000E6E1B" w:rsidP="00BE77EA">
            <w:pPr>
              <w:pStyle w:val="TableBullet"/>
            </w:pPr>
            <w:r w:rsidRPr="00756690">
              <w:t xml:space="preserve">Vehicle returns </w:t>
            </w:r>
          </w:p>
          <w:p w14:paraId="181B83CC" w14:textId="77777777" w:rsidR="000E6E1B" w:rsidRPr="00756690" w:rsidRDefault="000E6E1B" w:rsidP="00BE77EA">
            <w:pPr>
              <w:pStyle w:val="TableBullet"/>
            </w:pPr>
            <w:r w:rsidRPr="00756690">
              <w:t>Best use of resources</w:t>
            </w:r>
          </w:p>
          <w:p w14:paraId="729BD58A" w14:textId="77777777" w:rsidR="000E6E1B" w:rsidRPr="00756690" w:rsidRDefault="000E6E1B" w:rsidP="00BE77EA">
            <w:pPr>
              <w:pStyle w:val="TableBullet"/>
            </w:pPr>
            <w:r w:rsidRPr="00756690">
              <w:t>Expenditure on vehicles</w:t>
            </w:r>
          </w:p>
          <w:p w14:paraId="5F5C0452" w14:textId="77777777" w:rsidR="000E6E1B" w:rsidRPr="00756690" w:rsidRDefault="000E6E1B" w:rsidP="00BE77EA">
            <w:pPr>
              <w:pStyle w:val="TableBullet"/>
            </w:pPr>
            <w:r w:rsidRPr="00756690">
              <w:t>Allocate infringement notices to driver </w:t>
            </w:r>
          </w:p>
        </w:tc>
        <w:tc>
          <w:tcPr>
            <w:tcW w:w="1821" w:type="dxa"/>
            <w:tcBorders>
              <w:top w:val="single" w:sz="4" w:space="0" w:color="auto"/>
              <w:bottom w:val="single" w:sz="4" w:space="0" w:color="auto"/>
            </w:tcBorders>
            <w:shd w:val="clear" w:color="auto" w:fill="auto"/>
          </w:tcPr>
          <w:p w14:paraId="35A88C1D" w14:textId="35C7DB74" w:rsidR="000E6E1B" w:rsidRPr="00756690" w:rsidRDefault="000E6E1B" w:rsidP="00756690">
            <w:pPr>
              <w:pStyle w:val="TableText0"/>
            </w:pPr>
            <w:r w:rsidRPr="00756690">
              <w:t>Transport Officer</w:t>
            </w:r>
          </w:p>
          <w:p w14:paraId="792A4777" w14:textId="5FC49BCD" w:rsidR="00325E51" w:rsidRPr="00756690" w:rsidRDefault="00325E51" w:rsidP="00756690">
            <w:pPr>
              <w:pStyle w:val="TableText0"/>
            </w:pPr>
            <w:r w:rsidRPr="00756690">
              <w:t>Logistics</w:t>
            </w:r>
          </w:p>
        </w:tc>
      </w:tr>
    </w:tbl>
    <w:p w14:paraId="57B2F035" w14:textId="1A6D247E" w:rsidR="00B6438E" w:rsidRDefault="0045090A" w:rsidP="00BE77EA">
      <w:pPr>
        <w:pStyle w:val="TFAbbrevsSpace"/>
      </w:pPr>
      <w:r>
        <w:t xml:space="preserve">AAR = </w:t>
      </w:r>
      <w:r w:rsidR="00D626CF">
        <w:t>after action review</w:t>
      </w:r>
      <w:r>
        <w:t xml:space="preserve">; IAP = Incident Action Plan; </w:t>
      </w:r>
      <w:r w:rsidR="00BE77EA">
        <w:t>LCC = Local Control Centre</w:t>
      </w:r>
      <w:r>
        <w:t>; PPE = personal protective equipment; SCC = State Coordination Centre; SMEAC</w:t>
      </w:r>
      <w:r w:rsidR="00864872">
        <w:t>S</w:t>
      </w:r>
      <w:r>
        <w:t xml:space="preserve"> = </w:t>
      </w:r>
      <w:r w:rsidR="00F820B4">
        <w:t>Situation, Mission, Execution, Administration, Command and control, Safety systems</w:t>
      </w:r>
      <w:r>
        <w:t>; SSA =</w:t>
      </w:r>
      <w:r w:rsidR="00F820B4">
        <w:t xml:space="preserve"> shared situation awareness</w:t>
      </w:r>
      <w:r>
        <w:t>; WHS = work health and safety</w:t>
      </w:r>
    </w:p>
    <w:p w14:paraId="25CB4A92" w14:textId="56FAD9AB" w:rsidR="00E22F5C" w:rsidRDefault="00E22F5C"/>
    <w:p w14:paraId="69DA527E" w14:textId="509D8DEE" w:rsidR="006E0638" w:rsidRPr="0016749F" w:rsidRDefault="0091512C" w:rsidP="00A80AEB">
      <w:pPr>
        <w:pStyle w:val="Heading1"/>
      </w:pPr>
      <w:bookmarkStart w:id="134" w:name="_Toc529783804"/>
      <w:bookmarkStart w:id="135" w:name="_Hlk508714178"/>
      <w:r w:rsidRPr="0016749F">
        <w:t>Glossary</w:t>
      </w:r>
      <w:bookmarkEnd w:id="134"/>
      <w:r w:rsidRPr="0016749F">
        <w:t xml:space="preserve"> </w:t>
      </w:r>
    </w:p>
    <w:tbl>
      <w:tblPr>
        <w:tblW w:w="901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3"/>
        <w:gridCol w:w="6570"/>
      </w:tblGrid>
      <w:tr w:rsidR="00C05D3D" w:rsidRPr="00BE0504" w14:paraId="24435833" w14:textId="77777777" w:rsidTr="00565679">
        <w:trPr>
          <w:cantSplit/>
          <w:trHeight w:val="575"/>
        </w:trPr>
        <w:tc>
          <w:tcPr>
            <w:tcW w:w="2443" w:type="dxa"/>
          </w:tcPr>
          <w:bookmarkEnd w:id="135"/>
          <w:p w14:paraId="01E8BF00" w14:textId="695465B8" w:rsidR="00C05D3D" w:rsidRPr="006F17C0" w:rsidRDefault="00C05D3D" w:rsidP="00756690">
            <w:pPr>
              <w:pStyle w:val="TableText0"/>
            </w:pPr>
            <w:r w:rsidRPr="00F02962">
              <w:t>Agriculture Senior Officials Committee (AGSOC)</w:t>
            </w:r>
          </w:p>
        </w:tc>
        <w:tc>
          <w:tcPr>
            <w:tcW w:w="6570" w:type="dxa"/>
          </w:tcPr>
          <w:p w14:paraId="58F403D1" w14:textId="396D44B3" w:rsidR="00C05D3D" w:rsidRPr="006F17C0" w:rsidRDefault="00C05D3D" w:rsidP="00565679">
            <w:pPr>
              <w:pStyle w:val="TableText0"/>
            </w:pPr>
            <w:r w:rsidRPr="006F17C0">
              <w:t>All department heads</w:t>
            </w:r>
            <w:r w:rsidR="00565679">
              <w:t xml:space="preserve"> or chief executive officers </w:t>
            </w:r>
            <w:r w:rsidRPr="006F17C0">
              <w:t>of Australian state</w:t>
            </w:r>
            <w:r w:rsidR="00670005">
              <w:t xml:space="preserve"> </w:t>
            </w:r>
            <w:r w:rsidR="00D10805">
              <w:t>and</w:t>
            </w:r>
            <w:r w:rsidR="00670005">
              <w:t xml:space="preserve"> </w:t>
            </w:r>
            <w:r w:rsidRPr="006F17C0">
              <w:t>territory agencies responsible for agriculture or primary industries</w:t>
            </w:r>
            <w:r w:rsidR="00565679">
              <w:t>.</w:t>
            </w:r>
          </w:p>
        </w:tc>
      </w:tr>
      <w:tr w:rsidR="001F35E2" w:rsidRPr="00BE0504" w14:paraId="0216041B" w14:textId="77777777" w:rsidTr="00565679">
        <w:trPr>
          <w:cantSplit/>
          <w:trHeight w:val="1745"/>
        </w:trPr>
        <w:tc>
          <w:tcPr>
            <w:tcW w:w="2443" w:type="dxa"/>
          </w:tcPr>
          <w:p w14:paraId="3FBEE01A" w14:textId="17329EB9" w:rsidR="001F35E2" w:rsidRPr="006F17C0" w:rsidRDefault="001F35E2" w:rsidP="00756690">
            <w:pPr>
              <w:pStyle w:val="TableText0"/>
            </w:pPr>
            <w:r w:rsidRPr="006F17C0">
              <w:t xml:space="preserve">Animal Health Committee </w:t>
            </w:r>
            <w:r w:rsidR="00C05D3D" w:rsidRPr="006F17C0">
              <w:t>(AHC)</w:t>
            </w:r>
          </w:p>
        </w:tc>
        <w:tc>
          <w:tcPr>
            <w:tcW w:w="6570" w:type="dxa"/>
          </w:tcPr>
          <w:p w14:paraId="18A80D61" w14:textId="6B277C7D" w:rsidR="001F35E2" w:rsidRPr="006F17C0" w:rsidRDefault="00565679" w:rsidP="00756690">
            <w:pPr>
              <w:pStyle w:val="TableText0"/>
            </w:pPr>
            <w:r w:rsidRPr="005C44C3">
              <w:t>A committee</w:t>
            </w:r>
            <w:r>
              <w:t xml:space="preserve"> </w:t>
            </w:r>
            <w:r w:rsidRPr="00DD24C7">
              <w:t>whose me</w:t>
            </w:r>
            <w:r>
              <w:t>mbers are the Australian and state and territory chief veterinary officers, the D</w:t>
            </w:r>
            <w:r w:rsidRPr="00DD24C7">
              <w:t xml:space="preserve">irector of the </w:t>
            </w:r>
            <w:r>
              <w:t xml:space="preserve">CSIRO </w:t>
            </w:r>
            <w:r w:rsidRPr="00DD24C7">
              <w:t xml:space="preserve">Australian </w:t>
            </w:r>
            <w:r>
              <w:t xml:space="preserve">Animal Health Laboratory, </w:t>
            </w:r>
            <w:r w:rsidRPr="00DD24C7">
              <w:t xml:space="preserve">and the Director of Environmental Biosecurity in the </w:t>
            </w:r>
            <w:r>
              <w:t>Australian Government</w:t>
            </w:r>
            <w:r w:rsidRPr="00DD24C7">
              <w:t xml:space="preserve"> Department of </w:t>
            </w:r>
            <w:r>
              <w:t xml:space="preserve">the </w:t>
            </w:r>
            <w:r w:rsidRPr="00DD24C7">
              <w:t>Environment</w:t>
            </w:r>
            <w:r w:rsidRPr="005C44C3">
              <w:t xml:space="preserve">. The committee provides advice to </w:t>
            </w:r>
            <w:r>
              <w:t>the National Biosecurity Committee</w:t>
            </w:r>
            <w:r w:rsidRPr="005C44C3">
              <w:t xml:space="preserve"> on animal health matters, focusing on technical issues and regulatory policy (formerly called the Veterinary Committee). </w:t>
            </w:r>
            <w:r w:rsidRPr="005C44C3">
              <w:br/>
            </w:r>
            <w:r w:rsidRPr="00AF6AA7">
              <w:rPr>
                <w:i/>
              </w:rPr>
              <w:t>See also</w:t>
            </w:r>
            <w:r w:rsidRPr="005C44C3">
              <w:t xml:space="preserve"> </w:t>
            </w:r>
            <w:r w:rsidRPr="00B4477E">
              <w:t>National</w:t>
            </w:r>
            <w:r>
              <w:t xml:space="preserve"> Biosecurity Committee</w:t>
            </w:r>
          </w:p>
        </w:tc>
      </w:tr>
      <w:tr w:rsidR="00691FD4" w:rsidRPr="00BE0504" w14:paraId="6B2878E7" w14:textId="77777777" w:rsidTr="00565679">
        <w:trPr>
          <w:cantSplit/>
          <w:trHeight w:val="755"/>
        </w:trPr>
        <w:tc>
          <w:tcPr>
            <w:tcW w:w="2443" w:type="dxa"/>
          </w:tcPr>
          <w:p w14:paraId="1B2F0D67" w14:textId="6EE1A76C" w:rsidR="00691FD4" w:rsidRPr="006F17C0" w:rsidRDefault="00691FD4" w:rsidP="00756690">
            <w:pPr>
              <w:pStyle w:val="TableText0"/>
            </w:pPr>
            <w:r>
              <w:t>Appreciation</w:t>
            </w:r>
          </w:p>
        </w:tc>
        <w:tc>
          <w:tcPr>
            <w:tcW w:w="6570" w:type="dxa"/>
          </w:tcPr>
          <w:p w14:paraId="7721EA5A" w14:textId="76DFF074" w:rsidR="00691FD4" w:rsidRPr="006F17C0" w:rsidRDefault="00565679" w:rsidP="00756690">
            <w:pPr>
              <w:pStyle w:val="TableText0"/>
            </w:pPr>
            <w:r>
              <w:t>A</w:t>
            </w:r>
            <w:r w:rsidR="001E7A33">
              <w:t xml:space="preserve"> systematic approach to selection of options. It</w:t>
            </w:r>
            <w:r w:rsidR="00691FD4" w:rsidRPr="001E7A33">
              <w:t xml:space="preserve"> is a logical process of </w:t>
            </w:r>
            <w:r w:rsidR="00691FD4">
              <w:t>deduction</w:t>
            </w:r>
            <w:r w:rsidR="00691FD4" w:rsidRPr="001E7A33">
              <w:t xml:space="preserve">, the </w:t>
            </w:r>
            <w:r w:rsidR="00691FD4">
              <w:t>aim</w:t>
            </w:r>
            <w:r w:rsidR="00691FD4" w:rsidRPr="001E7A33">
              <w:t xml:space="preserve"> of which is to determine, </w:t>
            </w:r>
            <w:r w:rsidR="00FC0A4F" w:rsidRPr="00FC0A4F">
              <w:t>from information</w:t>
            </w:r>
            <w:r w:rsidR="00691FD4">
              <w:t xml:space="preserve"> (confirmed or assumed)</w:t>
            </w:r>
            <w:r w:rsidR="00691FD4" w:rsidRPr="001E7A33">
              <w:t xml:space="preserve">, the best or better course of action </w:t>
            </w:r>
            <w:r w:rsidR="00691FD4">
              <w:t xml:space="preserve">or option </w:t>
            </w:r>
            <w:r w:rsidR="00691FD4" w:rsidRPr="001E7A33">
              <w:t xml:space="preserve">to take in a given </w:t>
            </w:r>
            <w:r w:rsidR="00691FD4">
              <w:t>context.</w:t>
            </w:r>
          </w:p>
        </w:tc>
      </w:tr>
      <w:tr w:rsidR="001F35E2" w:rsidRPr="00BE0504" w14:paraId="5297A199" w14:textId="77777777" w:rsidTr="00565679">
        <w:trPr>
          <w:cantSplit/>
          <w:trHeight w:val="755"/>
        </w:trPr>
        <w:tc>
          <w:tcPr>
            <w:tcW w:w="2443" w:type="dxa"/>
          </w:tcPr>
          <w:p w14:paraId="35B4C5F0" w14:textId="2FF57FB0" w:rsidR="001F35E2" w:rsidRPr="006F17C0" w:rsidRDefault="001F35E2" w:rsidP="00756690">
            <w:pPr>
              <w:pStyle w:val="TableText0"/>
            </w:pPr>
            <w:r w:rsidRPr="006F17C0">
              <w:t>Australian Chief Veterinary Officer</w:t>
            </w:r>
          </w:p>
        </w:tc>
        <w:tc>
          <w:tcPr>
            <w:tcW w:w="6570" w:type="dxa"/>
          </w:tcPr>
          <w:p w14:paraId="731A4A0C" w14:textId="617C6DEB" w:rsidR="001F35E2" w:rsidRPr="006F17C0" w:rsidRDefault="00565679" w:rsidP="00756690">
            <w:pPr>
              <w:pStyle w:val="TableText0"/>
            </w:pPr>
            <w:r w:rsidRPr="00AF6AA7">
              <w:t>The nominated senior veterinarian in the Australian Government Department of Agriculture</w:t>
            </w:r>
            <w:r>
              <w:t xml:space="preserve"> and Water Resources</w:t>
            </w:r>
            <w:r w:rsidRPr="00AF6AA7">
              <w:t xml:space="preserve"> who manages international animal health commitments and the Australian Government</w:t>
            </w:r>
            <w:r>
              <w:t>’</w:t>
            </w:r>
            <w:r w:rsidRPr="00AF6AA7">
              <w:t>s response to an animal disease outbreak.</w:t>
            </w:r>
            <w:r>
              <w:t xml:space="preserve"> </w:t>
            </w:r>
            <w:r w:rsidR="001F35E2" w:rsidRPr="00565679">
              <w:rPr>
                <w:i/>
              </w:rPr>
              <w:t>See also</w:t>
            </w:r>
            <w:r w:rsidR="001F35E2" w:rsidRPr="006F17C0">
              <w:t xml:space="preserve"> </w:t>
            </w:r>
            <w:r w:rsidR="001F35E2" w:rsidRPr="00B4477E">
              <w:t>Chief</w:t>
            </w:r>
            <w:r w:rsidR="001F35E2" w:rsidRPr="006F17C0">
              <w:t xml:space="preserve"> </w:t>
            </w:r>
            <w:r w:rsidR="00B4477E">
              <w:t>v</w:t>
            </w:r>
            <w:r w:rsidR="001F35E2" w:rsidRPr="006F17C0">
              <w:t xml:space="preserve">eterinary </w:t>
            </w:r>
            <w:r w:rsidR="00B4477E">
              <w:t>o</w:t>
            </w:r>
            <w:r w:rsidR="001F35E2" w:rsidRPr="006F17C0">
              <w:t>fficer</w:t>
            </w:r>
            <w:r w:rsidR="00293CEC" w:rsidRPr="006F17C0">
              <w:t>.</w:t>
            </w:r>
          </w:p>
        </w:tc>
      </w:tr>
      <w:tr w:rsidR="001F35E2" w:rsidRPr="00BE0504" w14:paraId="362EC51E" w14:textId="77777777" w:rsidTr="00565679">
        <w:trPr>
          <w:cantSplit/>
          <w:trHeight w:val="756"/>
        </w:trPr>
        <w:tc>
          <w:tcPr>
            <w:tcW w:w="2443" w:type="dxa"/>
          </w:tcPr>
          <w:p w14:paraId="1E1F5283" w14:textId="77777777" w:rsidR="001F35E2" w:rsidRPr="006F17C0" w:rsidRDefault="001F35E2" w:rsidP="00756690">
            <w:pPr>
              <w:pStyle w:val="TableText0"/>
            </w:pPr>
            <w:r w:rsidRPr="006F17C0">
              <w:t xml:space="preserve">AUSVETPLAN </w:t>
            </w:r>
          </w:p>
        </w:tc>
        <w:tc>
          <w:tcPr>
            <w:tcW w:w="6570" w:type="dxa"/>
          </w:tcPr>
          <w:p w14:paraId="32AD1C98" w14:textId="77777777" w:rsidR="001F35E2" w:rsidRPr="006F17C0" w:rsidRDefault="001F35E2" w:rsidP="00756690">
            <w:pPr>
              <w:pStyle w:val="TableText0"/>
            </w:pPr>
            <w:r w:rsidRPr="006F17C0">
              <w:t xml:space="preserve">Australian Veterinary Emergency Plan. A series of technical response plans that describe the proposed Australian approach to an emergency animal disease incident. The documents provide guidance based on sound analysis, linking policy, strategies, implementation, coordination and emergency-management plans. </w:t>
            </w:r>
          </w:p>
        </w:tc>
      </w:tr>
      <w:tr w:rsidR="009A4080" w:rsidRPr="00BE0504" w14:paraId="3ABB1F8E" w14:textId="77777777" w:rsidTr="00565679">
        <w:trPr>
          <w:cantSplit/>
          <w:trHeight w:val="557"/>
        </w:trPr>
        <w:tc>
          <w:tcPr>
            <w:tcW w:w="2443" w:type="dxa"/>
          </w:tcPr>
          <w:p w14:paraId="688A2709" w14:textId="7D91C4A8" w:rsidR="009A4080" w:rsidRPr="006F17C0" w:rsidRDefault="009A4080" w:rsidP="00756690">
            <w:pPr>
              <w:pStyle w:val="TableText0"/>
            </w:pPr>
            <w:r>
              <w:t xml:space="preserve">AUSVETPLAN </w:t>
            </w:r>
            <w:r w:rsidRPr="006F17C0">
              <w:t>Technical Review Group</w:t>
            </w:r>
          </w:p>
        </w:tc>
        <w:tc>
          <w:tcPr>
            <w:tcW w:w="6570" w:type="dxa"/>
          </w:tcPr>
          <w:p w14:paraId="1708769D" w14:textId="75BF3619" w:rsidR="009A4080" w:rsidRDefault="00565679" w:rsidP="00565679">
            <w:pPr>
              <w:pStyle w:val="TableText0"/>
            </w:pPr>
            <w:r>
              <w:t>A</w:t>
            </w:r>
            <w:r w:rsidR="009A4080" w:rsidRPr="00ED6012">
              <w:t xml:space="preserve"> group of technical experts representing the Australian Government</w:t>
            </w:r>
            <w:r>
              <w:t>,</w:t>
            </w:r>
            <w:r w:rsidR="009A4080" w:rsidRPr="00ED6012">
              <w:t xml:space="preserve"> and each state and territory agriculture department, and CSIRO. The group is chaired by </w:t>
            </w:r>
            <w:r>
              <w:t>Animal Health Australia</w:t>
            </w:r>
            <w:r w:rsidRPr="00ED6012">
              <w:t xml:space="preserve"> </w:t>
            </w:r>
            <w:r w:rsidR="009A4080" w:rsidRPr="00ED6012">
              <w:t xml:space="preserve">and reviews drafts of AUSVETPLAN manuals prepared by consultant writers or writing groups, resolves technical issues and sets priorities for AUSVETPLAN work. </w:t>
            </w:r>
          </w:p>
        </w:tc>
      </w:tr>
      <w:tr w:rsidR="001F35E2" w:rsidRPr="00BE0504" w14:paraId="4F0EBF66" w14:textId="77777777" w:rsidTr="00565679">
        <w:trPr>
          <w:cantSplit/>
          <w:trHeight w:val="631"/>
        </w:trPr>
        <w:tc>
          <w:tcPr>
            <w:tcW w:w="2443" w:type="dxa"/>
          </w:tcPr>
          <w:p w14:paraId="3B4CD7D5" w14:textId="5538C33F" w:rsidR="001F35E2" w:rsidRPr="006F17C0" w:rsidRDefault="001F35E2" w:rsidP="00756690">
            <w:pPr>
              <w:pStyle w:val="TableText0"/>
            </w:pPr>
            <w:r w:rsidRPr="006F17C0">
              <w:t xml:space="preserve">Chief </w:t>
            </w:r>
            <w:r w:rsidR="00565679">
              <w:t>v</w:t>
            </w:r>
            <w:r w:rsidRPr="006F17C0">
              <w:t xml:space="preserve">eterinary </w:t>
            </w:r>
            <w:r w:rsidR="00565679">
              <w:t>o</w:t>
            </w:r>
            <w:r w:rsidRPr="006F17C0">
              <w:t xml:space="preserve">fficer (CVO) </w:t>
            </w:r>
          </w:p>
        </w:tc>
        <w:tc>
          <w:tcPr>
            <w:tcW w:w="6570" w:type="dxa"/>
          </w:tcPr>
          <w:p w14:paraId="0E00C83F" w14:textId="2337E71D" w:rsidR="001D1DE0" w:rsidRPr="006F17C0" w:rsidRDefault="001F35E2" w:rsidP="00756690">
            <w:pPr>
              <w:pStyle w:val="TableText0"/>
            </w:pPr>
            <w:r w:rsidRPr="006F17C0">
              <w:t xml:space="preserve">The senior veterinarian of the animal health authority in each jurisdiction (national, state or territory) who has responsibility for animal disease control in that jurisdiction. </w:t>
            </w:r>
            <w:r w:rsidRPr="00565679">
              <w:rPr>
                <w:i/>
              </w:rPr>
              <w:t>See also</w:t>
            </w:r>
            <w:r w:rsidRPr="006F17C0">
              <w:t xml:space="preserve"> Australian Chief Veterinary Officer</w:t>
            </w:r>
            <w:r w:rsidR="00293CEC" w:rsidRPr="006F17C0">
              <w:t>.</w:t>
            </w:r>
            <w:r w:rsidRPr="006F17C0">
              <w:t xml:space="preserve"> </w:t>
            </w:r>
          </w:p>
        </w:tc>
      </w:tr>
      <w:tr w:rsidR="001D1DE0" w:rsidRPr="00BE0504" w14:paraId="760C1331" w14:textId="77777777" w:rsidTr="00565679">
        <w:trPr>
          <w:cantSplit/>
          <w:trHeight w:val="631"/>
        </w:trPr>
        <w:tc>
          <w:tcPr>
            <w:tcW w:w="2443" w:type="dxa"/>
          </w:tcPr>
          <w:p w14:paraId="63F49CB9" w14:textId="7DA73547" w:rsidR="001D1DE0" w:rsidRPr="006F17C0" w:rsidRDefault="001D1DE0" w:rsidP="00756690">
            <w:pPr>
              <w:pStyle w:val="TableText0"/>
            </w:pPr>
            <w:r w:rsidRPr="006F17C0">
              <w:t xml:space="preserve">Control </w:t>
            </w:r>
            <w:r w:rsidR="00B4477E">
              <w:t>a</w:t>
            </w:r>
            <w:r w:rsidRPr="006F17C0">
              <w:t xml:space="preserve">rea </w:t>
            </w:r>
            <w:r w:rsidR="00C05D3D" w:rsidRPr="006F17C0">
              <w:t>(</w:t>
            </w:r>
            <w:r w:rsidR="00720B9C" w:rsidRPr="006F17C0">
              <w:t>CA</w:t>
            </w:r>
            <w:r w:rsidR="00C05D3D" w:rsidRPr="006F17C0">
              <w:t>)</w:t>
            </w:r>
          </w:p>
        </w:tc>
        <w:tc>
          <w:tcPr>
            <w:tcW w:w="6570" w:type="dxa"/>
          </w:tcPr>
          <w:p w14:paraId="3A2D4710" w14:textId="326FE780" w:rsidR="001D1DE0" w:rsidRPr="00AA203B" w:rsidRDefault="00565679" w:rsidP="00756690">
            <w:pPr>
              <w:pStyle w:val="TableText0"/>
            </w:pPr>
            <w:r w:rsidRPr="0066206A">
              <w:t xml:space="preserve">A </w:t>
            </w:r>
            <w:r>
              <w:t xml:space="preserve">legally </w:t>
            </w:r>
            <w:r w:rsidRPr="0066206A">
              <w:t xml:space="preserve">declared area </w:t>
            </w:r>
            <w:r>
              <w:t>where</w:t>
            </w:r>
            <w:r w:rsidRPr="0066206A">
              <w:t xml:space="preserve"> the </w:t>
            </w:r>
            <w:r>
              <w:t xml:space="preserve">disease controls, including surveillance and movement controls, </w:t>
            </w:r>
            <w:r w:rsidRPr="0066206A">
              <w:t>appl</w:t>
            </w:r>
            <w:r>
              <w:t>ied</w:t>
            </w:r>
            <w:r w:rsidRPr="0066206A">
              <w:t xml:space="preserve"> are of lesser intensity than those in a restricted area (the limits of a control area and the conditions applying to it can be varied during an </w:t>
            </w:r>
            <w:r>
              <w:t>incident</w:t>
            </w:r>
            <w:r w:rsidRPr="0066206A">
              <w:t xml:space="preserve"> according to need)</w:t>
            </w:r>
            <w:r w:rsidRPr="00872BD0">
              <w:t>.</w:t>
            </w:r>
            <w:r w:rsidR="001D1DE0" w:rsidRPr="00AA203B">
              <w:t xml:space="preserve"> </w:t>
            </w:r>
          </w:p>
        </w:tc>
      </w:tr>
      <w:tr w:rsidR="00565679" w:rsidRPr="00BE0504" w14:paraId="1ED12C92" w14:textId="77777777" w:rsidTr="00565679">
        <w:trPr>
          <w:cantSplit/>
          <w:trHeight w:val="557"/>
        </w:trPr>
        <w:tc>
          <w:tcPr>
            <w:tcW w:w="2443" w:type="dxa"/>
          </w:tcPr>
          <w:p w14:paraId="1DDE04C6" w14:textId="77777777" w:rsidR="00565679" w:rsidRPr="006F17C0" w:rsidRDefault="00565679" w:rsidP="00C860D5">
            <w:pPr>
              <w:pStyle w:val="TableText0"/>
            </w:pPr>
            <w:r>
              <w:t>Cost–b</w:t>
            </w:r>
            <w:r w:rsidRPr="006F17C0">
              <w:t>enefit</w:t>
            </w:r>
            <w:r>
              <w:t xml:space="preserve"> </w:t>
            </w:r>
            <w:r w:rsidRPr="006F17C0">
              <w:t xml:space="preserve">analysis </w:t>
            </w:r>
          </w:p>
        </w:tc>
        <w:tc>
          <w:tcPr>
            <w:tcW w:w="6570" w:type="dxa"/>
          </w:tcPr>
          <w:p w14:paraId="6969E709" w14:textId="77777777" w:rsidR="00565679" w:rsidRPr="00AA203B" w:rsidRDefault="00565679" w:rsidP="00C860D5">
            <w:pPr>
              <w:pStyle w:val="TableText0"/>
            </w:pPr>
            <w:r>
              <w:t>A</w:t>
            </w:r>
            <w:r w:rsidRPr="00AA203B">
              <w:t xml:space="preserve">n analysis </w:t>
            </w:r>
            <w:r>
              <w:t xml:space="preserve">whose </w:t>
            </w:r>
            <w:r w:rsidRPr="00AA203B">
              <w:t xml:space="preserve">objectives </w:t>
            </w:r>
            <w:r>
              <w:t xml:space="preserve">are </w:t>
            </w:r>
            <w:r w:rsidRPr="00AA203B">
              <w:t xml:space="preserve">set out in, and carried out in accordance with, </w:t>
            </w:r>
            <w:r>
              <w:t>I</w:t>
            </w:r>
            <w:r w:rsidRPr="00AA203B">
              <w:t xml:space="preserve">tem 5.1 </w:t>
            </w:r>
            <w:r>
              <w:t xml:space="preserve">of the </w:t>
            </w:r>
            <w:r w:rsidRPr="00EC0D05">
              <w:t>National Environmental Biosecurity Response Agreement</w:t>
            </w:r>
            <w:r>
              <w:t>.</w:t>
            </w:r>
          </w:p>
        </w:tc>
      </w:tr>
      <w:tr w:rsidR="001D1DE0" w:rsidRPr="00BE0504" w14:paraId="205C9FFB" w14:textId="77777777" w:rsidTr="00565679">
        <w:trPr>
          <w:cantSplit/>
        </w:trPr>
        <w:tc>
          <w:tcPr>
            <w:tcW w:w="2443" w:type="dxa"/>
          </w:tcPr>
          <w:p w14:paraId="48492B99" w14:textId="0A10F3F1" w:rsidR="001D1DE0" w:rsidRPr="006F17C0" w:rsidRDefault="001D1DE0" w:rsidP="00756690">
            <w:pPr>
              <w:pStyle w:val="TableText0"/>
            </w:pPr>
            <w:r w:rsidRPr="006F17C0">
              <w:t>Cost</w:t>
            </w:r>
            <w:r w:rsidR="00565679">
              <w:t xml:space="preserve"> </w:t>
            </w:r>
            <w:r w:rsidRPr="006F17C0">
              <w:t>sharing</w:t>
            </w:r>
          </w:p>
        </w:tc>
        <w:tc>
          <w:tcPr>
            <w:tcW w:w="6570" w:type="dxa"/>
          </w:tcPr>
          <w:p w14:paraId="3A1A5C88" w14:textId="1D79B4AE" w:rsidR="00BC16E7" w:rsidRPr="00AA203B" w:rsidRDefault="00BC16E7" w:rsidP="00565679">
            <w:pPr>
              <w:pStyle w:val="TableText0"/>
            </w:pPr>
            <w:r w:rsidRPr="006F17C0">
              <w:t>T</w:t>
            </w:r>
            <w:r w:rsidRPr="00AA203B">
              <w:t xml:space="preserve">he proportional funding of a national biosecurity incident response by some or all of the parties, determined in accordance with </w:t>
            </w:r>
            <w:r w:rsidR="00AA203B">
              <w:t>Item 2</w:t>
            </w:r>
            <w:r w:rsidR="00565679">
              <w:t xml:space="preserve"> of the </w:t>
            </w:r>
            <w:r w:rsidR="00565679" w:rsidRPr="00EC0D05">
              <w:t>National Environmental Biosecurity Response Agreement</w:t>
            </w:r>
            <w:r w:rsidR="00565679">
              <w:t>.</w:t>
            </w:r>
          </w:p>
        </w:tc>
      </w:tr>
      <w:tr w:rsidR="001D1DE0" w:rsidRPr="00BE0504" w14:paraId="0E55EC53" w14:textId="77777777" w:rsidTr="00565679">
        <w:trPr>
          <w:cantSplit/>
          <w:trHeight w:val="377"/>
        </w:trPr>
        <w:tc>
          <w:tcPr>
            <w:tcW w:w="2443" w:type="dxa"/>
          </w:tcPr>
          <w:p w14:paraId="5EB5D108" w14:textId="611537CC" w:rsidR="001D1DE0" w:rsidRPr="006F17C0" w:rsidRDefault="001D1DE0" w:rsidP="00756690">
            <w:pPr>
              <w:pStyle w:val="TableText0"/>
            </w:pPr>
            <w:r w:rsidRPr="006F17C0">
              <w:t xml:space="preserve">Dangerous contact premises </w:t>
            </w:r>
            <w:r w:rsidR="00C05D3D" w:rsidRPr="006F17C0">
              <w:t>(</w:t>
            </w:r>
            <w:r w:rsidR="00720B9C" w:rsidRPr="006F17C0">
              <w:t>DCP</w:t>
            </w:r>
            <w:r w:rsidR="00565679">
              <w:t>)</w:t>
            </w:r>
          </w:p>
        </w:tc>
        <w:tc>
          <w:tcPr>
            <w:tcW w:w="6570" w:type="dxa"/>
          </w:tcPr>
          <w:p w14:paraId="002108A9" w14:textId="060A7CFB" w:rsidR="001D1DE0" w:rsidRPr="00AA203B" w:rsidRDefault="00565679" w:rsidP="00756690">
            <w:pPr>
              <w:pStyle w:val="TableText0"/>
            </w:pPr>
            <w:r w:rsidRPr="004F3DD5">
              <w:t>A premises, apart from an abattoir, knackery or milk processing plant (or other such facility) that, after investigation and based on a risk assessment</w:t>
            </w:r>
            <w:r>
              <w:t>,</w:t>
            </w:r>
            <w:r w:rsidRPr="004F3DD5">
              <w:t xml:space="preserve"> is considered to</w:t>
            </w:r>
            <w:r w:rsidRPr="004F3DD5" w:rsidDel="002D6A22">
              <w:t xml:space="preserve"> </w:t>
            </w:r>
            <w:r w:rsidRPr="004F3DD5">
              <w:t xml:space="preserve">contain a susceptible animal(s) </w:t>
            </w:r>
            <w:r w:rsidRPr="00462163">
              <w:t>not showing clinical signs</w:t>
            </w:r>
            <w:r w:rsidRPr="004F3DD5">
              <w:t>, but considered highly likely to contain an infected animal(s) and/or contaminated animal products, wastes or things that present an unacceptable risk to the response if the risk is not addressed</w:t>
            </w:r>
            <w:r>
              <w:t>,</w:t>
            </w:r>
            <w:r w:rsidRPr="004F3DD5">
              <w:t xml:space="preserve"> and </w:t>
            </w:r>
            <w:r>
              <w:t>that therefore</w:t>
            </w:r>
            <w:r w:rsidRPr="004F3DD5">
              <w:t xml:space="preserve"> requi</w:t>
            </w:r>
            <w:r>
              <w:t>res action to address the risk</w:t>
            </w:r>
            <w:r w:rsidRPr="008E70CE">
              <w:t>.</w:t>
            </w:r>
          </w:p>
        </w:tc>
      </w:tr>
      <w:tr w:rsidR="001D1DE0" w:rsidRPr="00BE0504" w14:paraId="284AA644" w14:textId="77777777" w:rsidTr="00565679">
        <w:trPr>
          <w:cantSplit/>
          <w:trHeight w:val="631"/>
        </w:trPr>
        <w:tc>
          <w:tcPr>
            <w:tcW w:w="2443" w:type="dxa"/>
          </w:tcPr>
          <w:p w14:paraId="1157F716" w14:textId="77777777" w:rsidR="001D1DE0" w:rsidRPr="006F17C0" w:rsidRDefault="001D1DE0" w:rsidP="00756690">
            <w:pPr>
              <w:pStyle w:val="TableText0"/>
            </w:pPr>
            <w:r w:rsidRPr="006F17C0">
              <w:t xml:space="preserve">Declared area </w:t>
            </w:r>
          </w:p>
        </w:tc>
        <w:tc>
          <w:tcPr>
            <w:tcW w:w="6570" w:type="dxa"/>
          </w:tcPr>
          <w:p w14:paraId="76AEBB0C" w14:textId="0D1D0752" w:rsidR="001D1DE0" w:rsidRPr="00AA203B" w:rsidRDefault="00565679" w:rsidP="00756690">
            <w:pPr>
              <w:pStyle w:val="TableText0"/>
            </w:pPr>
            <w:r w:rsidRPr="00A420DE">
              <w:t xml:space="preserve">A defined tract of land that is subjected to disease control restrictions under emergency animal disease legislation. </w:t>
            </w:r>
            <w:r>
              <w:t>There are two t</w:t>
            </w:r>
            <w:r w:rsidRPr="001F0E74">
              <w:t>ypes of declared areas</w:t>
            </w:r>
            <w:r>
              <w:t xml:space="preserve">: </w:t>
            </w:r>
            <w:r w:rsidRPr="001F0E74">
              <w:t>restricted area</w:t>
            </w:r>
            <w:r>
              <w:t xml:space="preserve"> and </w:t>
            </w:r>
            <w:r w:rsidRPr="001F0E74">
              <w:t>control area</w:t>
            </w:r>
            <w:r w:rsidRPr="00A420DE">
              <w:t>.</w:t>
            </w:r>
          </w:p>
        </w:tc>
      </w:tr>
      <w:tr w:rsidR="001D1DE0" w:rsidRPr="00BE0504" w14:paraId="2BF0F240" w14:textId="77777777" w:rsidTr="00565679">
        <w:trPr>
          <w:cantSplit/>
          <w:trHeight w:val="395"/>
        </w:trPr>
        <w:tc>
          <w:tcPr>
            <w:tcW w:w="2443" w:type="dxa"/>
          </w:tcPr>
          <w:p w14:paraId="52D941C3" w14:textId="77777777" w:rsidR="001D1DE0" w:rsidRPr="006F17C0" w:rsidRDefault="001D1DE0" w:rsidP="00756690">
            <w:pPr>
              <w:pStyle w:val="TableText0"/>
            </w:pPr>
            <w:r w:rsidRPr="006F17C0">
              <w:t xml:space="preserve">Decontamination </w:t>
            </w:r>
          </w:p>
        </w:tc>
        <w:tc>
          <w:tcPr>
            <w:tcW w:w="6570" w:type="dxa"/>
          </w:tcPr>
          <w:p w14:paraId="73BCC57B" w14:textId="6812F956" w:rsidR="001D1DE0" w:rsidRPr="00AA203B" w:rsidRDefault="001D1DE0" w:rsidP="00756690">
            <w:pPr>
              <w:pStyle w:val="TableText0"/>
            </w:pPr>
            <w:r w:rsidRPr="00AA203B">
              <w:t xml:space="preserve">Includes all stages of cleaning and disinfection. </w:t>
            </w:r>
          </w:p>
        </w:tc>
      </w:tr>
      <w:tr w:rsidR="001D1DE0" w:rsidRPr="00BE0504" w14:paraId="60E98DA4" w14:textId="77777777" w:rsidTr="00565679">
        <w:trPr>
          <w:cantSplit/>
          <w:trHeight w:val="377"/>
        </w:trPr>
        <w:tc>
          <w:tcPr>
            <w:tcW w:w="2443" w:type="dxa"/>
          </w:tcPr>
          <w:p w14:paraId="4FA558EB" w14:textId="77777777" w:rsidR="001D1DE0" w:rsidRPr="006F17C0" w:rsidRDefault="001D1DE0" w:rsidP="00756690">
            <w:pPr>
              <w:pStyle w:val="TableText0"/>
            </w:pPr>
            <w:r w:rsidRPr="006F17C0">
              <w:t xml:space="preserve">Destroy (animals) </w:t>
            </w:r>
          </w:p>
        </w:tc>
        <w:tc>
          <w:tcPr>
            <w:tcW w:w="6570" w:type="dxa"/>
          </w:tcPr>
          <w:p w14:paraId="15510996" w14:textId="2DAE93E1" w:rsidR="001D1DE0" w:rsidRPr="006F17C0" w:rsidRDefault="001D1DE0" w:rsidP="00565679">
            <w:pPr>
              <w:pStyle w:val="TableText0"/>
            </w:pPr>
            <w:r w:rsidRPr="006F17C0">
              <w:t xml:space="preserve">To </w:t>
            </w:r>
            <w:r w:rsidR="00565679">
              <w:t>kill</w:t>
            </w:r>
            <w:r w:rsidR="00565679" w:rsidRPr="006F17C0">
              <w:t xml:space="preserve"> </w:t>
            </w:r>
            <w:r w:rsidRPr="006F17C0">
              <w:t xml:space="preserve">animals humanely. </w:t>
            </w:r>
          </w:p>
        </w:tc>
      </w:tr>
      <w:tr w:rsidR="001D1DE0" w:rsidRPr="00BE0504" w14:paraId="570849BA" w14:textId="77777777" w:rsidTr="00565679">
        <w:trPr>
          <w:cantSplit/>
          <w:trHeight w:val="395"/>
        </w:trPr>
        <w:tc>
          <w:tcPr>
            <w:tcW w:w="2443" w:type="dxa"/>
          </w:tcPr>
          <w:p w14:paraId="7EDB5265" w14:textId="77777777" w:rsidR="001D1DE0" w:rsidRPr="006F17C0" w:rsidRDefault="001D1DE0" w:rsidP="00756690">
            <w:pPr>
              <w:pStyle w:val="TableText0"/>
            </w:pPr>
            <w:r w:rsidRPr="006F17C0">
              <w:t xml:space="preserve">Disease agent </w:t>
            </w:r>
          </w:p>
        </w:tc>
        <w:tc>
          <w:tcPr>
            <w:tcW w:w="6570" w:type="dxa"/>
          </w:tcPr>
          <w:p w14:paraId="3EF4F92F" w14:textId="77777777" w:rsidR="001D1DE0" w:rsidRPr="006F17C0" w:rsidRDefault="001D1DE0" w:rsidP="00756690">
            <w:pPr>
              <w:pStyle w:val="TableText0"/>
            </w:pPr>
            <w:r w:rsidRPr="006F17C0">
              <w:t xml:space="preserve">A general term for a transmissible organism or other factor that causes an infectious disease. </w:t>
            </w:r>
          </w:p>
        </w:tc>
      </w:tr>
      <w:tr w:rsidR="001D1DE0" w:rsidRPr="00BE0504" w14:paraId="5B102172" w14:textId="77777777" w:rsidTr="00565679">
        <w:trPr>
          <w:cantSplit/>
          <w:trHeight w:val="386"/>
        </w:trPr>
        <w:tc>
          <w:tcPr>
            <w:tcW w:w="2443" w:type="dxa"/>
          </w:tcPr>
          <w:p w14:paraId="7401539C" w14:textId="77777777" w:rsidR="001D1DE0" w:rsidRPr="00370A53" w:rsidRDefault="001D1DE0" w:rsidP="00756690">
            <w:pPr>
              <w:pStyle w:val="TableText0"/>
            </w:pPr>
            <w:r w:rsidRPr="00370A53">
              <w:t xml:space="preserve">Disease Watch Hotline </w:t>
            </w:r>
          </w:p>
        </w:tc>
        <w:tc>
          <w:tcPr>
            <w:tcW w:w="6570" w:type="dxa"/>
          </w:tcPr>
          <w:p w14:paraId="71F18F37" w14:textId="51D5DB51" w:rsidR="001D1DE0" w:rsidRPr="00370A53" w:rsidRDefault="001D1DE0" w:rsidP="00756690">
            <w:pPr>
              <w:pStyle w:val="TableText0"/>
            </w:pPr>
            <w:r w:rsidRPr="00370A53">
              <w:t xml:space="preserve">24-hour </w:t>
            </w:r>
            <w:r w:rsidR="000D660C" w:rsidRPr="00370A53">
              <w:t>freecall</w:t>
            </w:r>
            <w:r w:rsidRPr="00370A53">
              <w:t xml:space="preserve"> service for reporting suspected incidences of exotic diseases </w:t>
            </w:r>
            <w:r w:rsidR="00565679">
              <w:t>–</w:t>
            </w:r>
            <w:r w:rsidRPr="00370A53">
              <w:t xml:space="preserve"> 1800 675 888 </w:t>
            </w:r>
          </w:p>
        </w:tc>
      </w:tr>
      <w:tr w:rsidR="001D1DE0" w:rsidRPr="00BE0504" w14:paraId="3B5488D4" w14:textId="77777777" w:rsidTr="00565679">
        <w:trPr>
          <w:cantSplit/>
          <w:trHeight w:val="422"/>
        </w:trPr>
        <w:tc>
          <w:tcPr>
            <w:tcW w:w="2443" w:type="dxa"/>
          </w:tcPr>
          <w:p w14:paraId="14E004FB" w14:textId="77777777" w:rsidR="001D1DE0" w:rsidRPr="006F17C0" w:rsidRDefault="001D1DE0" w:rsidP="00756690">
            <w:pPr>
              <w:pStyle w:val="TableText0"/>
            </w:pPr>
            <w:r w:rsidRPr="006F17C0">
              <w:t xml:space="preserve">Disinfectant </w:t>
            </w:r>
          </w:p>
        </w:tc>
        <w:tc>
          <w:tcPr>
            <w:tcW w:w="6570" w:type="dxa"/>
          </w:tcPr>
          <w:p w14:paraId="712BE09B" w14:textId="77777777" w:rsidR="001D1DE0" w:rsidRPr="006F17C0" w:rsidRDefault="001D1DE0" w:rsidP="00756690">
            <w:pPr>
              <w:pStyle w:val="TableText0"/>
            </w:pPr>
            <w:r w:rsidRPr="006F17C0">
              <w:t xml:space="preserve">A chemical used to destroy disease agents outside a living animal. </w:t>
            </w:r>
          </w:p>
        </w:tc>
      </w:tr>
      <w:tr w:rsidR="001D1DE0" w:rsidRPr="00BE0504" w14:paraId="79701231" w14:textId="77777777" w:rsidTr="00565679">
        <w:trPr>
          <w:cantSplit/>
          <w:trHeight w:val="631"/>
        </w:trPr>
        <w:tc>
          <w:tcPr>
            <w:tcW w:w="2443" w:type="dxa"/>
          </w:tcPr>
          <w:p w14:paraId="351203DC" w14:textId="77777777" w:rsidR="001D1DE0" w:rsidRPr="006F17C0" w:rsidRDefault="001D1DE0" w:rsidP="00756690">
            <w:pPr>
              <w:pStyle w:val="TableText0"/>
            </w:pPr>
            <w:r w:rsidRPr="006F17C0">
              <w:t xml:space="preserve">Disinfection </w:t>
            </w:r>
          </w:p>
        </w:tc>
        <w:tc>
          <w:tcPr>
            <w:tcW w:w="6570" w:type="dxa"/>
          </w:tcPr>
          <w:p w14:paraId="0F2AD668" w14:textId="77777777" w:rsidR="001D1DE0" w:rsidRPr="006F17C0" w:rsidRDefault="001D1DE0" w:rsidP="00756690">
            <w:pPr>
              <w:pStyle w:val="TableText0"/>
            </w:pPr>
            <w:r w:rsidRPr="006F17C0">
              <w:t xml:space="preserve">The application, after thorough cleansing, of procedures intended to destroy the infectious or parasitic agents of animal diseases, including zoonoses; applies to premises, vehicles and different objects that may have been directly or indirectly contaminated. </w:t>
            </w:r>
          </w:p>
        </w:tc>
      </w:tr>
      <w:tr w:rsidR="001D1DE0" w:rsidRPr="00BE0504" w14:paraId="2FF4AD7F" w14:textId="77777777" w:rsidTr="00565679">
        <w:trPr>
          <w:cantSplit/>
          <w:trHeight w:val="631"/>
        </w:trPr>
        <w:tc>
          <w:tcPr>
            <w:tcW w:w="2443" w:type="dxa"/>
          </w:tcPr>
          <w:p w14:paraId="5B76EDC4" w14:textId="77777777" w:rsidR="001D1DE0" w:rsidRPr="006F17C0" w:rsidRDefault="001D1DE0" w:rsidP="00756690">
            <w:pPr>
              <w:pStyle w:val="TableText0"/>
            </w:pPr>
            <w:r w:rsidRPr="006F17C0">
              <w:t xml:space="preserve">Disposal </w:t>
            </w:r>
          </w:p>
        </w:tc>
        <w:tc>
          <w:tcPr>
            <w:tcW w:w="6570" w:type="dxa"/>
          </w:tcPr>
          <w:p w14:paraId="7C8C5DBA" w14:textId="5AF20C6A" w:rsidR="001D1DE0" w:rsidRPr="006F17C0" w:rsidRDefault="001D1DE0" w:rsidP="00756690">
            <w:pPr>
              <w:pStyle w:val="TableText0"/>
            </w:pPr>
            <w:r w:rsidRPr="006F17C0">
              <w:t xml:space="preserve">Sanitary removal of animal </w:t>
            </w:r>
            <w:r w:rsidR="000D660C" w:rsidRPr="006F17C0">
              <w:t>carcasses</w:t>
            </w:r>
            <w:r w:rsidRPr="006F17C0">
              <w:t xml:space="preserve">, animal products, materials and wastes by burial, burning or some other process so as to prevent the spread of disease. </w:t>
            </w:r>
          </w:p>
        </w:tc>
      </w:tr>
      <w:tr w:rsidR="007D212A" w:rsidRPr="00BE0504" w14:paraId="678D881A" w14:textId="77777777" w:rsidTr="00565679">
        <w:trPr>
          <w:cantSplit/>
          <w:trHeight w:val="631"/>
        </w:trPr>
        <w:tc>
          <w:tcPr>
            <w:tcW w:w="2443" w:type="dxa"/>
          </w:tcPr>
          <w:p w14:paraId="61BFE5BF" w14:textId="123D559E" w:rsidR="007D212A" w:rsidRPr="006F17C0" w:rsidRDefault="007D212A" w:rsidP="00756690">
            <w:pPr>
              <w:pStyle w:val="TableText0"/>
            </w:pPr>
            <w:r w:rsidRPr="006F17C0">
              <w:t>Eligible costs</w:t>
            </w:r>
          </w:p>
        </w:tc>
        <w:tc>
          <w:tcPr>
            <w:tcW w:w="6570" w:type="dxa"/>
          </w:tcPr>
          <w:p w14:paraId="19DDA848" w14:textId="7179EED3" w:rsidR="007D212A" w:rsidRPr="00370A53" w:rsidRDefault="007D212A" w:rsidP="00565679">
            <w:pPr>
              <w:pStyle w:val="TableText0"/>
            </w:pPr>
            <w:r w:rsidRPr="00370A53">
              <w:t>The costs incurred when implementing a national biosecurity incident response that are over and above normal commitments and eligible for cost</w:t>
            </w:r>
            <w:r w:rsidR="00565679">
              <w:t xml:space="preserve"> </w:t>
            </w:r>
            <w:r w:rsidRPr="00370A53">
              <w:t xml:space="preserve">sharing, set out in </w:t>
            </w:r>
            <w:r w:rsidR="00565679">
              <w:t>I</w:t>
            </w:r>
            <w:r w:rsidRPr="00370A53">
              <w:t xml:space="preserve">tem 3 </w:t>
            </w:r>
            <w:r w:rsidR="00565679">
              <w:t>of the</w:t>
            </w:r>
            <w:r w:rsidR="00565679" w:rsidRPr="00EC0D05">
              <w:t xml:space="preserve"> National Environmental Biosecurity Response Agreement</w:t>
            </w:r>
            <w:r w:rsidR="00565679">
              <w:t>.</w:t>
            </w:r>
          </w:p>
        </w:tc>
      </w:tr>
      <w:tr w:rsidR="00C643BA" w:rsidRPr="00BE0504" w14:paraId="4531F487" w14:textId="77777777" w:rsidTr="00565679">
        <w:trPr>
          <w:cantSplit/>
          <w:trHeight w:val="631"/>
        </w:trPr>
        <w:tc>
          <w:tcPr>
            <w:tcW w:w="2443" w:type="dxa"/>
          </w:tcPr>
          <w:p w14:paraId="3CD403C4" w14:textId="0C6270CF" w:rsidR="00C643BA" w:rsidRPr="006F17C0" w:rsidRDefault="00C643BA" w:rsidP="00756690">
            <w:pPr>
              <w:pStyle w:val="TableText0"/>
            </w:pPr>
            <w:r>
              <w:t>Emergency</w:t>
            </w:r>
          </w:p>
        </w:tc>
        <w:tc>
          <w:tcPr>
            <w:tcW w:w="6570" w:type="dxa"/>
          </w:tcPr>
          <w:p w14:paraId="7F27C45A" w14:textId="47AAF9EE" w:rsidR="00C643BA" w:rsidRPr="00EE1D97" w:rsidRDefault="00565679" w:rsidP="00756690">
            <w:pPr>
              <w:pStyle w:val="TableText0"/>
            </w:pPr>
            <w:r>
              <w:t>A</w:t>
            </w:r>
            <w:r w:rsidR="00C643BA" w:rsidRPr="00EE1D97">
              <w:t xml:space="preserve">n emergency due to an actual or imminent occurrence (such as fire, flood, storm, earthquake, explosion, terrorist act, accident, epidemic or warlike action) </w:t>
            </w:r>
            <w:r w:rsidR="00C860D5">
              <w:t>that</w:t>
            </w:r>
            <w:r w:rsidR="00C643BA" w:rsidRPr="00EE1D97">
              <w:t>:</w:t>
            </w:r>
          </w:p>
          <w:p w14:paraId="33A4A8A8" w14:textId="7351E870" w:rsidR="00C643BA" w:rsidRPr="00EE1D97" w:rsidRDefault="00C643BA" w:rsidP="00756690">
            <w:pPr>
              <w:pStyle w:val="TableText0"/>
            </w:pPr>
            <w:r w:rsidRPr="00EE1D97">
              <w:t>(a) endangers, or threatens to endanger, the safety or health of persons or animals, or</w:t>
            </w:r>
          </w:p>
          <w:p w14:paraId="69934774" w14:textId="284F0773" w:rsidR="00C96970" w:rsidRDefault="00C643BA" w:rsidP="00756690">
            <w:pPr>
              <w:pStyle w:val="TableText0"/>
            </w:pPr>
            <w:r w:rsidRPr="00EE1D97">
              <w:t xml:space="preserve">(b) destroys or damages, or threatens to destroy or damage, </w:t>
            </w:r>
            <w:r>
              <w:t>built, social, economic and natural environments</w:t>
            </w:r>
            <w:r w:rsidRPr="00EE1D97">
              <w:t>,</w:t>
            </w:r>
            <w:r>
              <w:t xml:space="preserve"> and</w:t>
            </w:r>
          </w:p>
          <w:p w14:paraId="2CA15B22" w14:textId="4F8DA065" w:rsidR="00C643BA" w:rsidRPr="00370A53" w:rsidRDefault="00C96970" w:rsidP="00C860D5">
            <w:pPr>
              <w:pStyle w:val="TableText0"/>
            </w:pPr>
            <w:r>
              <w:t xml:space="preserve">(c) </w:t>
            </w:r>
            <w:r w:rsidR="00C643BA" w:rsidRPr="00EE1D97">
              <w:t xml:space="preserve">requires a significant and </w:t>
            </w:r>
            <w:r w:rsidR="00C643BA" w:rsidRPr="00C643BA">
              <w:t>coordinated</w:t>
            </w:r>
            <w:r w:rsidR="00C643BA" w:rsidRPr="00EE1D97">
              <w:t xml:space="preserve"> response</w:t>
            </w:r>
            <w:r w:rsidR="00C860D5">
              <w:t>.</w:t>
            </w:r>
          </w:p>
        </w:tc>
      </w:tr>
      <w:tr w:rsidR="001D1DE0" w:rsidRPr="00BE0504" w14:paraId="7955C805" w14:textId="77777777" w:rsidTr="00565679">
        <w:trPr>
          <w:cantSplit/>
          <w:trHeight w:val="631"/>
        </w:trPr>
        <w:tc>
          <w:tcPr>
            <w:tcW w:w="2443" w:type="dxa"/>
          </w:tcPr>
          <w:p w14:paraId="58B09D9A" w14:textId="5489B817" w:rsidR="001D1DE0" w:rsidRPr="006F17C0" w:rsidRDefault="001D1DE0" w:rsidP="00756690">
            <w:pPr>
              <w:pStyle w:val="TableText0"/>
            </w:pPr>
            <w:r w:rsidRPr="006F17C0">
              <w:t xml:space="preserve">Emergency animal disease </w:t>
            </w:r>
            <w:r w:rsidR="00C05D3D" w:rsidRPr="006F17C0">
              <w:t>(</w:t>
            </w:r>
            <w:r w:rsidR="00371FED" w:rsidRPr="006F17C0">
              <w:t>EAD</w:t>
            </w:r>
            <w:r w:rsidR="00C05D3D" w:rsidRPr="006F17C0">
              <w:t>)</w:t>
            </w:r>
          </w:p>
        </w:tc>
        <w:tc>
          <w:tcPr>
            <w:tcW w:w="6570" w:type="dxa"/>
          </w:tcPr>
          <w:p w14:paraId="0A9B0D31" w14:textId="77777777" w:rsidR="001D1DE0" w:rsidRPr="00370A53" w:rsidRDefault="001D1DE0" w:rsidP="00756690">
            <w:pPr>
              <w:pStyle w:val="TableText0"/>
            </w:pPr>
            <w:r w:rsidRPr="00370A53">
              <w:t xml:space="preserve">A disease that is (a) exotic to Australia or (b) a variant of an endemic disease or (c) a serious infectious disease of unknown or uncertain cause or (d) a severe outbreak of a known endemic disease, and that is considered to be of national significance with serious social or trade implications. </w:t>
            </w:r>
            <w:r w:rsidRPr="00B4477E">
              <w:rPr>
                <w:i/>
              </w:rPr>
              <w:t>See also</w:t>
            </w:r>
            <w:r w:rsidRPr="00370A53">
              <w:t xml:space="preserve"> Endemic animal disease, Exotic animal disease </w:t>
            </w:r>
          </w:p>
        </w:tc>
      </w:tr>
      <w:tr w:rsidR="001D1DE0" w:rsidRPr="00BE0504" w14:paraId="759E3332" w14:textId="77777777" w:rsidTr="00565679">
        <w:trPr>
          <w:cantSplit/>
          <w:trHeight w:val="631"/>
        </w:trPr>
        <w:tc>
          <w:tcPr>
            <w:tcW w:w="2443" w:type="dxa"/>
          </w:tcPr>
          <w:p w14:paraId="6AE762FF" w14:textId="0FA2D5BD" w:rsidR="001D1DE0" w:rsidRPr="006F17C0" w:rsidRDefault="001D1DE0" w:rsidP="00756690">
            <w:pPr>
              <w:pStyle w:val="TableText0"/>
            </w:pPr>
            <w:r w:rsidRPr="006F17C0">
              <w:t xml:space="preserve">Emergency Animal Disease Response Agreement </w:t>
            </w:r>
            <w:r w:rsidR="00C05D3D" w:rsidRPr="006F17C0">
              <w:t>(EADRA)</w:t>
            </w:r>
          </w:p>
        </w:tc>
        <w:tc>
          <w:tcPr>
            <w:tcW w:w="6570" w:type="dxa"/>
          </w:tcPr>
          <w:p w14:paraId="49CDC227" w14:textId="7AADA4E0" w:rsidR="001D1DE0" w:rsidRPr="00370A53" w:rsidRDefault="00C860D5" w:rsidP="00C860D5">
            <w:pPr>
              <w:pStyle w:val="TableText0"/>
            </w:pPr>
            <w:r w:rsidRPr="00524625">
              <w:t xml:space="preserve">Agreement between the Australian and state/territory governments and livestock industries on the management of emergency animal disease responses. Provisions include </w:t>
            </w:r>
            <w:r>
              <w:t>participatory decision making, risk management,</w:t>
            </w:r>
            <w:r w:rsidRPr="00524625">
              <w:t xml:space="preserve"> </w:t>
            </w:r>
            <w:r>
              <w:t>cost sharing</w:t>
            </w:r>
            <w:r w:rsidRPr="00524625">
              <w:t>, the use of appropriately trained personnel and existing standards such as AUSVETPLAN.</w:t>
            </w:r>
            <w:r w:rsidR="001D1DE0" w:rsidRPr="00370A53">
              <w:t xml:space="preserve"> </w:t>
            </w:r>
          </w:p>
        </w:tc>
      </w:tr>
      <w:tr w:rsidR="00AE1D7A" w:rsidRPr="00BE0504" w14:paraId="5E1B0B5D" w14:textId="77777777" w:rsidTr="00565679">
        <w:trPr>
          <w:cantSplit/>
          <w:trHeight w:val="631"/>
        </w:trPr>
        <w:tc>
          <w:tcPr>
            <w:tcW w:w="2443" w:type="dxa"/>
          </w:tcPr>
          <w:p w14:paraId="4673D3D5" w14:textId="3DCE88C2" w:rsidR="00AE1D7A" w:rsidRPr="006F17C0" w:rsidRDefault="00AE1D7A" w:rsidP="00756690">
            <w:pPr>
              <w:pStyle w:val="TableText0"/>
            </w:pPr>
            <w:r w:rsidRPr="006F17C0">
              <w:t>Emergency response</w:t>
            </w:r>
          </w:p>
        </w:tc>
        <w:tc>
          <w:tcPr>
            <w:tcW w:w="6570" w:type="dxa"/>
          </w:tcPr>
          <w:p w14:paraId="64925D88" w14:textId="4F42B3E8" w:rsidR="00AE1D7A" w:rsidRPr="006F17C0" w:rsidRDefault="00AE1D7A" w:rsidP="00C860D5">
            <w:pPr>
              <w:pStyle w:val="TableText0"/>
            </w:pPr>
            <w:r w:rsidRPr="006F17C0">
              <w:t>The actions taken in anticipation of, during and immediately after an outbreak to ensure that its impacts are minimised</w:t>
            </w:r>
            <w:r w:rsidR="00C860D5">
              <w:t>. M</w:t>
            </w:r>
            <w:r w:rsidRPr="006F17C0">
              <w:t>ay include</w:t>
            </w:r>
            <w:r w:rsidR="00C860D5">
              <w:t xml:space="preserve"> </w:t>
            </w:r>
            <w:r w:rsidRPr="006F17C0">
              <w:t>actions constituting an initial response to an outbreak</w:t>
            </w:r>
            <w:r w:rsidR="00C860D5">
              <w:t xml:space="preserve"> and </w:t>
            </w:r>
            <w:r w:rsidRPr="006F17C0">
              <w:t>actions that form part of a national biosecurity incident response.</w:t>
            </w:r>
          </w:p>
        </w:tc>
      </w:tr>
      <w:tr w:rsidR="00720B9C" w:rsidRPr="00BE0504" w14:paraId="58EED964" w14:textId="77777777" w:rsidTr="00565679">
        <w:trPr>
          <w:cantSplit/>
          <w:trHeight w:val="800"/>
        </w:trPr>
        <w:tc>
          <w:tcPr>
            <w:tcW w:w="2443" w:type="dxa"/>
          </w:tcPr>
          <w:p w14:paraId="18DF4AAF" w14:textId="1B2BF9F1" w:rsidR="00720B9C" w:rsidRPr="006F17C0" w:rsidRDefault="00720B9C" w:rsidP="00756690">
            <w:pPr>
              <w:pStyle w:val="TableText0"/>
            </w:pPr>
            <w:bookmarkStart w:id="136" w:name="_Hlk508711635"/>
            <w:r w:rsidRPr="006F17C0">
              <w:t xml:space="preserve">Emergency wildlife disease </w:t>
            </w:r>
            <w:bookmarkEnd w:id="136"/>
            <w:r w:rsidR="00C05D3D" w:rsidRPr="006F17C0">
              <w:t>(</w:t>
            </w:r>
            <w:r w:rsidRPr="006F17C0">
              <w:t>EWD</w:t>
            </w:r>
            <w:r w:rsidR="00C05D3D" w:rsidRPr="006F17C0">
              <w:t>)</w:t>
            </w:r>
          </w:p>
        </w:tc>
        <w:tc>
          <w:tcPr>
            <w:tcW w:w="6570" w:type="dxa"/>
          </w:tcPr>
          <w:p w14:paraId="4940E06F" w14:textId="787CA2D8" w:rsidR="00C643BA" w:rsidRPr="00370A53" w:rsidRDefault="00C643BA" w:rsidP="00756690">
            <w:pPr>
              <w:pStyle w:val="TableText0"/>
            </w:pPr>
            <w:r w:rsidRPr="00370A53">
              <w:t xml:space="preserve">A disease that is (a) exotic to Australia or (b) a variant of an endemic disease or (c) a serious infectious disease of unknown or uncertain cause or (d) a severe outbreak of a known endemic disease, and that is considered to be of national significance with serious social </w:t>
            </w:r>
            <w:r>
              <w:t>amenity</w:t>
            </w:r>
            <w:r w:rsidR="00C860D5">
              <w:t>,</w:t>
            </w:r>
            <w:r w:rsidRPr="00370A53">
              <w:t xml:space="preserve"> </w:t>
            </w:r>
            <w:r>
              <w:t xml:space="preserve">or economic or environmental </w:t>
            </w:r>
            <w:r w:rsidRPr="00370A53">
              <w:t>implications</w:t>
            </w:r>
            <w:r w:rsidR="00C860D5">
              <w:t>.</w:t>
            </w:r>
          </w:p>
        </w:tc>
      </w:tr>
      <w:tr w:rsidR="001D1DE0" w:rsidRPr="00BE0504" w14:paraId="561AB201" w14:textId="77777777" w:rsidTr="00565679">
        <w:trPr>
          <w:cantSplit/>
          <w:trHeight w:val="440"/>
        </w:trPr>
        <w:tc>
          <w:tcPr>
            <w:tcW w:w="2443" w:type="dxa"/>
          </w:tcPr>
          <w:p w14:paraId="5448A189" w14:textId="77777777" w:rsidR="001D1DE0" w:rsidRPr="006F17C0" w:rsidRDefault="001D1DE0" w:rsidP="00756690">
            <w:pPr>
              <w:pStyle w:val="TableText0"/>
            </w:pPr>
            <w:r w:rsidRPr="006F17C0">
              <w:t xml:space="preserve">Endemic animal disease </w:t>
            </w:r>
          </w:p>
        </w:tc>
        <w:tc>
          <w:tcPr>
            <w:tcW w:w="6570" w:type="dxa"/>
          </w:tcPr>
          <w:p w14:paraId="0169E249" w14:textId="672F2A2C" w:rsidR="001D1DE0" w:rsidRPr="00370A53" w:rsidRDefault="001D1DE0" w:rsidP="00756690">
            <w:pPr>
              <w:pStyle w:val="TableText0"/>
            </w:pPr>
            <w:r w:rsidRPr="00370A53">
              <w:t xml:space="preserve">A disease affecting animals (which may include humans) that is known to occur in Australia. </w:t>
            </w:r>
            <w:r w:rsidRPr="00C860D5">
              <w:rPr>
                <w:i/>
              </w:rPr>
              <w:t>See also</w:t>
            </w:r>
            <w:r w:rsidRPr="00370A53">
              <w:t xml:space="preserve"> Emergency animal disease, Exotic animal disease</w:t>
            </w:r>
            <w:r w:rsidR="00231D4A">
              <w:t>.</w:t>
            </w:r>
          </w:p>
        </w:tc>
      </w:tr>
      <w:tr w:rsidR="0060012C" w:rsidRPr="00BE0504" w14:paraId="178BF3CB" w14:textId="77777777" w:rsidTr="00565679">
        <w:trPr>
          <w:cantSplit/>
          <w:trHeight w:val="152"/>
        </w:trPr>
        <w:tc>
          <w:tcPr>
            <w:tcW w:w="2443" w:type="dxa"/>
          </w:tcPr>
          <w:p w14:paraId="0BEE86AB" w14:textId="76C7CDE7" w:rsidR="0060012C" w:rsidRPr="006F17C0" w:rsidRDefault="0060012C" w:rsidP="00756690">
            <w:pPr>
              <w:pStyle w:val="TableText0"/>
            </w:pPr>
            <w:r w:rsidRPr="006F17C0">
              <w:t xml:space="preserve">Enterprise </w:t>
            </w:r>
          </w:p>
        </w:tc>
        <w:tc>
          <w:tcPr>
            <w:tcW w:w="6570" w:type="dxa"/>
          </w:tcPr>
          <w:p w14:paraId="58B0F3F5" w14:textId="6A331F0F" w:rsidR="0060012C" w:rsidRPr="00370A53" w:rsidRDefault="0060012C" w:rsidP="00756690">
            <w:pPr>
              <w:pStyle w:val="TableText0"/>
            </w:pPr>
            <w:r w:rsidRPr="00C860D5">
              <w:rPr>
                <w:i/>
              </w:rPr>
              <w:t>See</w:t>
            </w:r>
            <w:r w:rsidRPr="006F17C0">
              <w:t xml:space="preserve"> </w:t>
            </w:r>
            <w:r w:rsidRPr="00B4477E">
              <w:t>Risk</w:t>
            </w:r>
            <w:r w:rsidRPr="006F17C0">
              <w:t xml:space="preserve"> enterprise </w:t>
            </w:r>
          </w:p>
        </w:tc>
      </w:tr>
      <w:tr w:rsidR="00AE1D7A" w:rsidRPr="00BE0504" w14:paraId="1663EC61" w14:textId="77777777" w:rsidTr="00565679">
        <w:trPr>
          <w:cantSplit/>
          <w:trHeight w:val="530"/>
        </w:trPr>
        <w:tc>
          <w:tcPr>
            <w:tcW w:w="2443" w:type="dxa"/>
          </w:tcPr>
          <w:p w14:paraId="56493476" w14:textId="2F109304" w:rsidR="00AE1D7A" w:rsidRPr="006F17C0" w:rsidRDefault="00AE1D7A" w:rsidP="00756690">
            <w:pPr>
              <w:pStyle w:val="TableText0"/>
            </w:pPr>
            <w:r w:rsidRPr="006F17C0">
              <w:t>Environment</w:t>
            </w:r>
          </w:p>
        </w:tc>
        <w:tc>
          <w:tcPr>
            <w:tcW w:w="6570" w:type="dxa"/>
          </w:tcPr>
          <w:p w14:paraId="516E7AA5" w14:textId="13E161BB" w:rsidR="00AE1D7A" w:rsidRPr="00370A53" w:rsidRDefault="00AE1D7A" w:rsidP="00C860D5">
            <w:pPr>
              <w:pStyle w:val="TableText0"/>
            </w:pPr>
            <w:r w:rsidRPr="00370A53">
              <w:t>Has the same meaning as in s</w:t>
            </w:r>
            <w:r w:rsidR="00C860D5">
              <w:t>. </w:t>
            </w:r>
            <w:r w:rsidRPr="00370A53">
              <w:t xml:space="preserve">528 of the </w:t>
            </w:r>
            <w:r w:rsidRPr="00C860D5">
              <w:rPr>
                <w:i/>
              </w:rPr>
              <w:t>Environment Protection and Biodiversity Conservation Act 1999</w:t>
            </w:r>
            <w:r w:rsidRPr="00370A53">
              <w:t xml:space="preserve"> (C</w:t>
            </w:r>
            <w:r w:rsidR="00C860D5">
              <w:t>wlth</w:t>
            </w:r>
            <w:r w:rsidRPr="00370A53">
              <w:t>).</w:t>
            </w:r>
          </w:p>
        </w:tc>
      </w:tr>
      <w:tr w:rsidR="001D1DE0" w:rsidRPr="00BE0504" w14:paraId="07FC47EE" w14:textId="77777777" w:rsidTr="00565679">
        <w:trPr>
          <w:cantSplit/>
          <w:trHeight w:val="383"/>
        </w:trPr>
        <w:tc>
          <w:tcPr>
            <w:tcW w:w="2443" w:type="dxa"/>
          </w:tcPr>
          <w:p w14:paraId="0B410897" w14:textId="77777777" w:rsidR="001D1DE0" w:rsidRPr="006F17C0" w:rsidRDefault="001D1DE0" w:rsidP="00756690">
            <w:pPr>
              <w:pStyle w:val="TableText0"/>
            </w:pPr>
            <w:r w:rsidRPr="006F17C0">
              <w:t xml:space="preserve">Epidemiological investigation </w:t>
            </w:r>
          </w:p>
        </w:tc>
        <w:tc>
          <w:tcPr>
            <w:tcW w:w="6570" w:type="dxa"/>
          </w:tcPr>
          <w:p w14:paraId="58F3471F" w14:textId="62F8B6F0" w:rsidR="001D1DE0" w:rsidRPr="006F17C0" w:rsidRDefault="001D1DE0" w:rsidP="00DF3105">
            <w:pPr>
              <w:pStyle w:val="TableText0"/>
            </w:pPr>
            <w:r w:rsidRPr="006F17C0">
              <w:t xml:space="preserve">An investigation to identify and qualify the risk factors associated with the disease. </w:t>
            </w:r>
            <w:r w:rsidRPr="00C860D5">
              <w:rPr>
                <w:i/>
              </w:rPr>
              <w:t>See also</w:t>
            </w:r>
            <w:r w:rsidRPr="006F17C0">
              <w:t xml:space="preserve"> </w:t>
            </w:r>
            <w:r w:rsidR="00DF3105">
              <w:t>I</w:t>
            </w:r>
            <w:r w:rsidRPr="006F17C0">
              <w:t xml:space="preserve">nvestigation </w:t>
            </w:r>
          </w:p>
        </w:tc>
      </w:tr>
      <w:tr w:rsidR="00AE1D7A" w:rsidRPr="00BE0504" w14:paraId="2180917D" w14:textId="77777777" w:rsidTr="00565679">
        <w:trPr>
          <w:cantSplit/>
          <w:trHeight w:val="383"/>
        </w:trPr>
        <w:tc>
          <w:tcPr>
            <w:tcW w:w="2443" w:type="dxa"/>
          </w:tcPr>
          <w:p w14:paraId="53736D20" w14:textId="7A8EF7B7" w:rsidR="00AE1D7A" w:rsidRPr="006F17C0" w:rsidRDefault="00AE1D7A" w:rsidP="00C860D5">
            <w:pPr>
              <w:pStyle w:val="TableText0"/>
            </w:pPr>
            <w:r w:rsidRPr="006F17C0">
              <w:t>Eradication</w:t>
            </w:r>
          </w:p>
        </w:tc>
        <w:tc>
          <w:tcPr>
            <w:tcW w:w="6570" w:type="dxa"/>
          </w:tcPr>
          <w:p w14:paraId="0E2E4E5A" w14:textId="1AFFAF00" w:rsidR="00AE1D7A" w:rsidRPr="00370A53" w:rsidRDefault="00AE1D7A" w:rsidP="00C860D5">
            <w:pPr>
              <w:pStyle w:val="TableText0"/>
            </w:pPr>
            <w:r w:rsidRPr="00370A53">
              <w:t>Eliminati</w:t>
            </w:r>
            <w:r w:rsidR="00C860D5">
              <w:t xml:space="preserve">on of </w:t>
            </w:r>
            <w:r w:rsidRPr="00370A53">
              <w:t>a disease from an area. Eradication is indicated by the disease no longer being detectable (</w:t>
            </w:r>
            <w:r w:rsidRPr="00C860D5">
              <w:rPr>
                <w:i/>
              </w:rPr>
              <w:t>see</w:t>
            </w:r>
            <w:r w:rsidRPr="00370A53">
              <w:t xml:space="preserve"> </w:t>
            </w:r>
            <w:r w:rsidR="00C860D5" w:rsidRPr="00DF3105">
              <w:t>P</w:t>
            </w:r>
            <w:r w:rsidRPr="00DF3105">
              <w:t>roof</w:t>
            </w:r>
            <w:r w:rsidRPr="00370A53">
              <w:t xml:space="preserve"> of freedom</w:t>
            </w:r>
            <w:r w:rsidRPr="006F17C0">
              <w:t>).</w:t>
            </w:r>
          </w:p>
        </w:tc>
      </w:tr>
      <w:tr w:rsidR="00AE1D7A" w:rsidRPr="00BE0504" w14:paraId="75CE0175" w14:textId="77777777" w:rsidTr="00565679">
        <w:trPr>
          <w:cantSplit/>
          <w:trHeight w:val="508"/>
        </w:trPr>
        <w:tc>
          <w:tcPr>
            <w:tcW w:w="2443" w:type="dxa"/>
          </w:tcPr>
          <w:p w14:paraId="5B101F5D" w14:textId="5DE95409" w:rsidR="00AE1D7A" w:rsidRPr="006F17C0" w:rsidRDefault="00AE1D7A" w:rsidP="00C860D5">
            <w:pPr>
              <w:pStyle w:val="TableText0"/>
            </w:pPr>
            <w:r w:rsidRPr="006F17C0">
              <w:t xml:space="preserve">Established </w:t>
            </w:r>
            <w:r w:rsidR="00C860D5">
              <w:t>disease</w:t>
            </w:r>
          </w:p>
        </w:tc>
        <w:tc>
          <w:tcPr>
            <w:tcW w:w="6570" w:type="dxa"/>
          </w:tcPr>
          <w:p w14:paraId="1490104C" w14:textId="0E4DA0B0" w:rsidR="00AE1D7A" w:rsidRPr="006F17C0" w:rsidRDefault="002B7313" w:rsidP="00C860D5">
            <w:pPr>
              <w:pStyle w:val="TableText0"/>
            </w:pPr>
            <w:r w:rsidRPr="006F17C0">
              <w:t xml:space="preserve">A </w:t>
            </w:r>
            <w:r w:rsidR="00AE1D7A" w:rsidRPr="006F17C0">
              <w:t xml:space="preserve">disease that, for the foreseeable future, is perpetuated within any area and </w:t>
            </w:r>
            <w:r w:rsidR="00C860D5">
              <w:t>that</w:t>
            </w:r>
            <w:r w:rsidR="00AE1D7A" w:rsidRPr="006F17C0">
              <w:t xml:space="preserve"> is deemed not feasible (either technically or as a result of a</w:t>
            </w:r>
            <w:r w:rsidR="00C860D5">
              <w:t xml:space="preserve"> </w:t>
            </w:r>
            <w:r w:rsidR="000D660C" w:rsidRPr="006F17C0">
              <w:t>cost</w:t>
            </w:r>
            <w:r w:rsidR="00C860D5">
              <w:t>–benefit</w:t>
            </w:r>
            <w:r w:rsidR="00AE1D7A" w:rsidRPr="006F17C0">
              <w:t xml:space="preserve"> analysis) to eradicate.</w:t>
            </w:r>
          </w:p>
        </w:tc>
      </w:tr>
      <w:tr w:rsidR="001D1DE0" w:rsidRPr="00BE0504" w14:paraId="03C7E83B" w14:textId="77777777" w:rsidTr="00565679">
        <w:trPr>
          <w:cantSplit/>
          <w:trHeight w:val="508"/>
        </w:trPr>
        <w:tc>
          <w:tcPr>
            <w:tcW w:w="2443" w:type="dxa"/>
          </w:tcPr>
          <w:p w14:paraId="74603CDD" w14:textId="63E7DE7E" w:rsidR="001D1DE0" w:rsidRPr="006F17C0" w:rsidRDefault="001D1DE0" w:rsidP="00756690">
            <w:pPr>
              <w:pStyle w:val="TableText0"/>
            </w:pPr>
            <w:r w:rsidRPr="006F17C0">
              <w:t>Exotic animal disease</w:t>
            </w:r>
          </w:p>
        </w:tc>
        <w:tc>
          <w:tcPr>
            <w:tcW w:w="6570" w:type="dxa"/>
          </w:tcPr>
          <w:p w14:paraId="2B0BEE76" w14:textId="641684AA" w:rsidR="001D1DE0" w:rsidRPr="00370A53" w:rsidRDefault="001D1DE0" w:rsidP="00756690">
            <w:pPr>
              <w:pStyle w:val="TableText0"/>
            </w:pPr>
            <w:r w:rsidRPr="00370A53">
              <w:t xml:space="preserve">A disease affecting animals (which may include humans) that does not normally occur in Australia. </w:t>
            </w:r>
            <w:r w:rsidRPr="00C860D5">
              <w:rPr>
                <w:i/>
              </w:rPr>
              <w:t>See also</w:t>
            </w:r>
            <w:r w:rsidRPr="006F17C0">
              <w:t xml:space="preserve"> </w:t>
            </w:r>
            <w:r w:rsidRPr="00370A53">
              <w:t>Emergency animal disease, Endemic animal disease</w:t>
            </w:r>
            <w:r w:rsidR="00F02962">
              <w:t>.</w:t>
            </w:r>
          </w:p>
        </w:tc>
      </w:tr>
      <w:tr w:rsidR="001D1DE0" w:rsidRPr="00BE0504" w14:paraId="35D3A04E" w14:textId="77777777" w:rsidTr="00565679">
        <w:trPr>
          <w:cantSplit/>
          <w:trHeight w:val="135"/>
        </w:trPr>
        <w:tc>
          <w:tcPr>
            <w:tcW w:w="2443" w:type="dxa"/>
          </w:tcPr>
          <w:p w14:paraId="2724DE3A" w14:textId="7203C04B" w:rsidR="001D1DE0" w:rsidRPr="006F17C0" w:rsidRDefault="001D1DE0" w:rsidP="00756690">
            <w:pPr>
              <w:pStyle w:val="TableText0"/>
            </w:pPr>
            <w:r w:rsidRPr="006F17C0">
              <w:t xml:space="preserve">Exotic fauna/feral animals </w:t>
            </w:r>
          </w:p>
        </w:tc>
        <w:tc>
          <w:tcPr>
            <w:tcW w:w="6570" w:type="dxa"/>
          </w:tcPr>
          <w:p w14:paraId="4C6E12CA" w14:textId="77777777" w:rsidR="001D1DE0" w:rsidRPr="00370A53" w:rsidRDefault="001D1DE0" w:rsidP="00756690">
            <w:pPr>
              <w:pStyle w:val="TableText0"/>
              <w:rPr>
                <w:color w:val="7030A0"/>
              </w:rPr>
            </w:pPr>
            <w:r w:rsidRPr="00670005">
              <w:rPr>
                <w:i/>
                <w:iCs/>
              </w:rPr>
              <w:t xml:space="preserve">See </w:t>
            </w:r>
            <w:r w:rsidRPr="00B4477E">
              <w:t>Wild</w:t>
            </w:r>
            <w:r w:rsidRPr="00670005">
              <w:t xml:space="preserve"> animals </w:t>
            </w:r>
          </w:p>
        </w:tc>
      </w:tr>
      <w:tr w:rsidR="001D1DE0" w:rsidRPr="00BE0504" w14:paraId="5D05C995" w14:textId="77777777" w:rsidTr="00565679">
        <w:trPr>
          <w:cantSplit/>
          <w:trHeight w:val="507"/>
        </w:trPr>
        <w:tc>
          <w:tcPr>
            <w:tcW w:w="2443" w:type="dxa"/>
          </w:tcPr>
          <w:p w14:paraId="12B9B0C6" w14:textId="77777777" w:rsidR="001D1DE0" w:rsidRPr="006F17C0" w:rsidRDefault="001D1DE0" w:rsidP="00756690">
            <w:pPr>
              <w:pStyle w:val="TableText0"/>
            </w:pPr>
            <w:r w:rsidRPr="006F17C0">
              <w:t xml:space="preserve">Fomites </w:t>
            </w:r>
          </w:p>
        </w:tc>
        <w:tc>
          <w:tcPr>
            <w:tcW w:w="6570" w:type="dxa"/>
          </w:tcPr>
          <w:p w14:paraId="78BF46A3" w14:textId="13812F90" w:rsidR="001D1DE0" w:rsidRPr="00370A53" w:rsidRDefault="001D1DE0" w:rsidP="00756690">
            <w:pPr>
              <w:pStyle w:val="TableText0"/>
            </w:pPr>
            <w:r w:rsidRPr="00370A53">
              <w:t>Inanimate objects (</w:t>
            </w:r>
            <w:r w:rsidR="000D660C" w:rsidRPr="00370A53">
              <w:t>eg</w:t>
            </w:r>
            <w:r w:rsidRPr="00370A53">
              <w:t xml:space="preserve"> boots, clothing, equipment, instruments, vehicles, crates, packaging) that can carry an infectious disease agent and may spread the disease through mechanical transmission. </w:t>
            </w:r>
          </w:p>
        </w:tc>
      </w:tr>
      <w:tr w:rsidR="001D1DE0" w:rsidRPr="00BE0504" w14:paraId="753AF652" w14:textId="77777777" w:rsidTr="00565679">
        <w:trPr>
          <w:cantSplit/>
          <w:trHeight w:val="259"/>
        </w:trPr>
        <w:tc>
          <w:tcPr>
            <w:tcW w:w="2443" w:type="dxa"/>
          </w:tcPr>
          <w:p w14:paraId="42134866" w14:textId="4B0F5BEF" w:rsidR="001D1DE0" w:rsidRPr="006F17C0" w:rsidRDefault="001D1DE0" w:rsidP="00756690">
            <w:pPr>
              <w:pStyle w:val="TableText0"/>
            </w:pPr>
            <w:r w:rsidRPr="006F17C0">
              <w:t xml:space="preserve">Forward command post </w:t>
            </w:r>
            <w:r w:rsidR="006F17C0">
              <w:t>(</w:t>
            </w:r>
            <w:r w:rsidR="00720B9C" w:rsidRPr="006F17C0">
              <w:t>FCP</w:t>
            </w:r>
            <w:r w:rsidR="006F17C0">
              <w:t>)</w:t>
            </w:r>
          </w:p>
        </w:tc>
        <w:tc>
          <w:tcPr>
            <w:tcW w:w="6570" w:type="dxa"/>
          </w:tcPr>
          <w:p w14:paraId="78CD40C6" w14:textId="5E0A5E02" w:rsidR="001D1DE0" w:rsidRPr="00370A53" w:rsidRDefault="001D1DE0" w:rsidP="00C860D5">
            <w:pPr>
              <w:pStyle w:val="TableText0"/>
            </w:pPr>
            <w:r w:rsidRPr="00370A53">
              <w:t xml:space="preserve">A field operations centre, subsidiary to a </w:t>
            </w:r>
            <w:r w:rsidR="00C860D5" w:rsidRPr="00370A53">
              <w:t>Local Control Centr</w:t>
            </w:r>
            <w:r w:rsidRPr="00370A53">
              <w:t xml:space="preserve">e. </w:t>
            </w:r>
          </w:p>
        </w:tc>
      </w:tr>
      <w:tr w:rsidR="00AE1D7A" w:rsidRPr="00BE0504" w14:paraId="73040480" w14:textId="77777777" w:rsidTr="00565679">
        <w:trPr>
          <w:cantSplit/>
          <w:trHeight w:val="383"/>
        </w:trPr>
        <w:tc>
          <w:tcPr>
            <w:tcW w:w="2443" w:type="dxa"/>
          </w:tcPr>
          <w:p w14:paraId="445874A0" w14:textId="193F5EF5" w:rsidR="00AE1D7A" w:rsidRPr="006F17C0" w:rsidRDefault="00AE1D7A" w:rsidP="00756690">
            <w:pPr>
              <w:pStyle w:val="TableText0"/>
            </w:pPr>
            <w:r w:rsidRPr="006F17C0">
              <w:t>Human infrastructure</w:t>
            </w:r>
          </w:p>
        </w:tc>
        <w:tc>
          <w:tcPr>
            <w:tcW w:w="6570" w:type="dxa"/>
          </w:tcPr>
          <w:p w14:paraId="107EFEDC" w14:textId="42EE38E7" w:rsidR="00AE1D7A" w:rsidRPr="00370A53" w:rsidRDefault="00AE1D7A" w:rsidP="00756690">
            <w:pPr>
              <w:pStyle w:val="TableText0"/>
            </w:pPr>
            <w:r w:rsidRPr="00370A53">
              <w:t xml:space="preserve">The </w:t>
            </w:r>
            <w:r w:rsidR="00C860D5">
              <w:t>hu</w:t>
            </w:r>
            <w:r w:rsidRPr="00370A53">
              <w:t xml:space="preserve">man-made surroundings, including buildings, roads, fixtures, parks and other transport corridors, as well as the housing and residential areas, commercial centres, pipelines and utilities, that can influence the natural environment. </w:t>
            </w:r>
          </w:p>
        </w:tc>
      </w:tr>
      <w:tr w:rsidR="0060012C" w:rsidRPr="00BE0504" w14:paraId="3F2F2F6E" w14:textId="77777777" w:rsidTr="00565679">
        <w:trPr>
          <w:cantSplit/>
          <w:trHeight w:val="383"/>
        </w:trPr>
        <w:tc>
          <w:tcPr>
            <w:tcW w:w="2443" w:type="dxa"/>
          </w:tcPr>
          <w:p w14:paraId="657209D8" w14:textId="3D2B9BA7" w:rsidR="0060012C" w:rsidRPr="006F17C0" w:rsidRDefault="0060012C" w:rsidP="00756690">
            <w:pPr>
              <w:pStyle w:val="TableText0"/>
            </w:pPr>
            <w:r w:rsidRPr="006F17C0">
              <w:t>Impact</w:t>
            </w:r>
          </w:p>
        </w:tc>
        <w:tc>
          <w:tcPr>
            <w:tcW w:w="6570" w:type="dxa"/>
          </w:tcPr>
          <w:p w14:paraId="4CFF1F06" w14:textId="77777777" w:rsidR="0060012C" w:rsidRPr="00C860D5" w:rsidRDefault="0060012C" w:rsidP="00756690">
            <w:pPr>
              <w:pStyle w:val="TableText0"/>
            </w:pPr>
            <w:r w:rsidRPr="00C860D5">
              <w:t>The significant negative consequences caused by a disease on:</w:t>
            </w:r>
          </w:p>
          <w:p w14:paraId="7255FC59" w14:textId="4EC5637E" w:rsidR="0060012C" w:rsidRPr="00C860D5" w:rsidRDefault="0060012C" w:rsidP="00C860D5">
            <w:pPr>
              <w:pStyle w:val="TableBullet"/>
            </w:pPr>
            <w:r w:rsidRPr="00C860D5">
              <w:t>the environment or an ecosystem, including terrestrial, inland waters and marine environments</w:t>
            </w:r>
            <w:r w:rsidR="001F549E">
              <w:t>,</w:t>
            </w:r>
            <w:r w:rsidR="00C860D5">
              <w:t xml:space="preserve"> or</w:t>
            </w:r>
          </w:p>
          <w:p w14:paraId="5C535C66" w14:textId="14084C9E" w:rsidR="0060012C" w:rsidRPr="00C860D5" w:rsidRDefault="0060012C" w:rsidP="00C860D5">
            <w:pPr>
              <w:pStyle w:val="TableBullet"/>
            </w:pPr>
            <w:r w:rsidRPr="00C860D5">
              <w:t>social amenity</w:t>
            </w:r>
            <w:r w:rsidR="00C860D5">
              <w:t>,</w:t>
            </w:r>
            <w:r w:rsidRPr="00C860D5">
              <w:t xml:space="preserve"> including negative impacts on human infrastructure or human health, including from zoonoses</w:t>
            </w:r>
            <w:r w:rsidR="001F549E">
              <w:t>,</w:t>
            </w:r>
            <w:r w:rsidRPr="00C860D5">
              <w:t xml:space="preserve"> or</w:t>
            </w:r>
          </w:p>
          <w:p w14:paraId="160D8D71" w14:textId="77777777" w:rsidR="0060012C" w:rsidRPr="00C860D5" w:rsidRDefault="0060012C" w:rsidP="00C860D5">
            <w:pPr>
              <w:pStyle w:val="TableBullet"/>
            </w:pPr>
            <w:r w:rsidRPr="00C860D5">
              <w:t>the economy, including negative impacts on human, animal or plant life, or</w:t>
            </w:r>
          </w:p>
          <w:p w14:paraId="62F07E6E" w14:textId="6CFCE6C4" w:rsidR="0060012C" w:rsidRPr="0060012C" w:rsidRDefault="0060012C" w:rsidP="00C860D5">
            <w:pPr>
              <w:pStyle w:val="TableBullet"/>
              <w:rPr>
                <w:rFonts w:asciiTheme="minorHAnsi" w:hAnsiTheme="minorHAnsi"/>
              </w:rPr>
            </w:pPr>
            <w:r w:rsidRPr="00C860D5">
              <w:t>health and relevant abiotic aspects of primary production and/or business.</w:t>
            </w:r>
          </w:p>
        </w:tc>
      </w:tr>
      <w:tr w:rsidR="0060012C" w:rsidRPr="00BE0504" w14:paraId="218E5F09" w14:textId="77777777" w:rsidTr="00565679">
        <w:trPr>
          <w:cantSplit/>
          <w:trHeight w:val="383"/>
        </w:trPr>
        <w:tc>
          <w:tcPr>
            <w:tcW w:w="2443" w:type="dxa"/>
          </w:tcPr>
          <w:p w14:paraId="5375E848" w14:textId="3669FEC3" w:rsidR="0060012C" w:rsidRPr="006F17C0" w:rsidRDefault="0060012C" w:rsidP="00756690">
            <w:pPr>
              <w:pStyle w:val="TableText0"/>
            </w:pPr>
            <w:r w:rsidRPr="006F17C0">
              <w:t>Incident</w:t>
            </w:r>
          </w:p>
        </w:tc>
        <w:tc>
          <w:tcPr>
            <w:tcW w:w="6570" w:type="dxa"/>
          </w:tcPr>
          <w:p w14:paraId="6D5CF0CA" w14:textId="1B5F5203" w:rsidR="0060012C" w:rsidRPr="006F17C0" w:rsidRDefault="0060012C" w:rsidP="00756690">
            <w:pPr>
              <w:pStyle w:val="TableText0"/>
            </w:pPr>
            <w:r w:rsidRPr="006F17C0">
              <w:t>An outbreak of a disease.</w:t>
            </w:r>
          </w:p>
        </w:tc>
      </w:tr>
      <w:tr w:rsidR="001D1DE0" w:rsidRPr="00BE0504" w14:paraId="0FA84DAE" w14:textId="77777777" w:rsidTr="00565679">
        <w:trPr>
          <w:cantSplit/>
          <w:trHeight w:val="383"/>
        </w:trPr>
        <w:tc>
          <w:tcPr>
            <w:tcW w:w="2443" w:type="dxa"/>
          </w:tcPr>
          <w:p w14:paraId="72089482" w14:textId="77777777" w:rsidR="001D1DE0" w:rsidRPr="006F17C0" w:rsidRDefault="001D1DE0" w:rsidP="00756690">
            <w:pPr>
              <w:pStyle w:val="TableText0"/>
            </w:pPr>
            <w:r w:rsidRPr="006F17C0">
              <w:t xml:space="preserve">In-contact animals </w:t>
            </w:r>
          </w:p>
        </w:tc>
        <w:tc>
          <w:tcPr>
            <w:tcW w:w="6570" w:type="dxa"/>
          </w:tcPr>
          <w:p w14:paraId="4E362EA5" w14:textId="3D2DF1C0" w:rsidR="001D1DE0" w:rsidRPr="006F17C0" w:rsidRDefault="001D1DE0" w:rsidP="00756690">
            <w:pPr>
              <w:pStyle w:val="TableText0"/>
            </w:pPr>
            <w:r w:rsidRPr="006F17C0">
              <w:t xml:space="preserve">Animals that have had close contact with infected animals, such as noninfected animals in the same group as infected animals. </w:t>
            </w:r>
          </w:p>
        </w:tc>
      </w:tr>
      <w:tr w:rsidR="001D1DE0" w:rsidRPr="00BE0504" w14:paraId="7973370C" w14:textId="77777777" w:rsidTr="00565679">
        <w:trPr>
          <w:cantSplit/>
          <w:trHeight w:val="383"/>
        </w:trPr>
        <w:tc>
          <w:tcPr>
            <w:tcW w:w="2443" w:type="dxa"/>
          </w:tcPr>
          <w:p w14:paraId="46B8C89A" w14:textId="77777777" w:rsidR="001D1DE0" w:rsidRPr="006F17C0" w:rsidRDefault="001D1DE0" w:rsidP="00756690">
            <w:pPr>
              <w:pStyle w:val="TableText0"/>
            </w:pPr>
            <w:r w:rsidRPr="006F17C0">
              <w:t xml:space="preserve">Incubation period </w:t>
            </w:r>
          </w:p>
        </w:tc>
        <w:tc>
          <w:tcPr>
            <w:tcW w:w="6570" w:type="dxa"/>
          </w:tcPr>
          <w:p w14:paraId="39F4A538" w14:textId="6BB8990F" w:rsidR="001D1DE0" w:rsidRPr="006F17C0" w:rsidRDefault="001D1DE0" w:rsidP="00C860D5">
            <w:pPr>
              <w:pStyle w:val="TableText0"/>
            </w:pPr>
            <w:r w:rsidRPr="006F17C0">
              <w:t xml:space="preserve">The period that elapses between the introduction of </w:t>
            </w:r>
            <w:r w:rsidR="00C860D5">
              <w:t>a</w:t>
            </w:r>
            <w:r w:rsidR="00C860D5" w:rsidRPr="006F17C0">
              <w:t xml:space="preserve"> </w:t>
            </w:r>
            <w:r w:rsidRPr="006F17C0">
              <w:t xml:space="preserve">pathogen into </w:t>
            </w:r>
            <w:r w:rsidR="00C860D5">
              <w:t>an</w:t>
            </w:r>
            <w:r w:rsidR="00C860D5" w:rsidRPr="006F17C0">
              <w:t xml:space="preserve"> </w:t>
            </w:r>
            <w:r w:rsidRPr="006F17C0">
              <w:t xml:space="preserve">animal and the first clinical signs of the disease. </w:t>
            </w:r>
          </w:p>
        </w:tc>
      </w:tr>
      <w:tr w:rsidR="001D1DE0" w:rsidRPr="00BE0504" w14:paraId="40DBD177" w14:textId="77777777" w:rsidTr="00565679">
        <w:trPr>
          <w:cantSplit/>
          <w:trHeight w:val="755"/>
        </w:trPr>
        <w:tc>
          <w:tcPr>
            <w:tcW w:w="2443" w:type="dxa"/>
          </w:tcPr>
          <w:p w14:paraId="0C46BD19" w14:textId="75FA115C" w:rsidR="001D1DE0" w:rsidRPr="006F17C0" w:rsidRDefault="001D1DE0" w:rsidP="00756690">
            <w:pPr>
              <w:pStyle w:val="TableText0"/>
            </w:pPr>
            <w:r w:rsidRPr="006F17C0">
              <w:t xml:space="preserve">Infected premises </w:t>
            </w:r>
            <w:r w:rsidR="0060012C">
              <w:t>(</w:t>
            </w:r>
            <w:r w:rsidR="00720B9C" w:rsidRPr="006F17C0">
              <w:t>IP</w:t>
            </w:r>
            <w:r w:rsidR="0060012C">
              <w:t>)</w:t>
            </w:r>
          </w:p>
        </w:tc>
        <w:tc>
          <w:tcPr>
            <w:tcW w:w="6570" w:type="dxa"/>
          </w:tcPr>
          <w:p w14:paraId="10D119EA" w14:textId="32151449" w:rsidR="001D1DE0" w:rsidRPr="00370A53" w:rsidRDefault="00BF7C34" w:rsidP="00756690">
            <w:pPr>
              <w:pStyle w:val="TableText0"/>
            </w:pPr>
            <w:r w:rsidRPr="008F7604">
              <w:t xml:space="preserve">A defined area (which may be all or part of a property) on which animals meeting the case definition are or were present, or the causative agent of the </w:t>
            </w:r>
            <w:r>
              <w:t>emergency animal disease</w:t>
            </w:r>
            <w:r w:rsidRPr="008F7604">
              <w:t xml:space="preserve"> is present, or there is a reasonable suspicion that either is present, and </w:t>
            </w:r>
            <w:r>
              <w:t>that</w:t>
            </w:r>
            <w:r w:rsidRPr="008F7604">
              <w:t xml:space="preserve"> the relevant chief veterinary officer or their delegate has declared to be an infected premises</w:t>
            </w:r>
            <w:r w:rsidRPr="008E70CE">
              <w:t>.</w:t>
            </w:r>
            <w:r w:rsidR="001D1DE0" w:rsidRPr="00370A53">
              <w:t xml:space="preserve"> </w:t>
            </w:r>
          </w:p>
        </w:tc>
      </w:tr>
      <w:tr w:rsidR="00DF3105" w:rsidRPr="00BE0504" w14:paraId="329FE609" w14:textId="77777777" w:rsidTr="00CB35FB">
        <w:trPr>
          <w:cantSplit/>
          <w:trHeight w:val="134"/>
        </w:trPr>
        <w:tc>
          <w:tcPr>
            <w:tcW w:w="2443" w:type="dxa"/>
          </w:tcPr>
          <w:p w14:paraId="5CC07FA3" w14:textId="77777777" w:rsidR="00DF3105" w:rsidRPr="00ED6012" w:rsidRDefault="00DF3105" w:rsidP="00CB35FB">
            <w:pPr>
              <w:pStyle w:val="TableText0"/>
            </w:pPr>
            <w:r w:rsidRPr="00ED6012">
              <w:t>Investigation</w:t>
            </w:r>
          </w:p>
        </w:tc>
        <w:tc>
          <w:tcPr>
            <w:tcW w:w="6570" w:type="dxa"/>
          </w:tcPr>
          <w:p w14:paraId="5FED6DF3" w14:textId="77777777" w:rsidR="00DF3105" w:rsidRPr="00ED6012" w:rsidRDefault="00DF3105" w:rsidP="00CB35FB">
            <w:pPr>
              <w:pStyle w:val="TableText0"/>
            </w:pPr>
            <w:r w:rsidRPr="00ED6012">
              <w:t xml:space="preserve">An investigation of the diagnosis, pathology and epidemiology of the disease. </w:t>
            </w:r>
            <w:r w:rsidRPr="00DF3105">
              <w:rPr>
                <w:i/>
              </w:rPr>
              <w:t>See also</w:t>
            </w:r>
            <w:r w:rsidRPr="00ED6012">
              <w:t xml:space="preserve"> </w:t>
            </w:r>
            <w:r w:rsidRPr="00DF3105">
              <w:t>Epidemiological</w:t>
            </w:r>
            <w:r w:rsidRPr="00ED6012">
              <w:t xml:space="preserve"> investigation</w:t>
            </w:r>
            <w:r>
              <w:t>.</w:t>
            </w:r>
            <w:r w:rsidRPr="00ED6012">
              <w:t xml:space="preserve"> </w:t>
            </w:r>
          </w:p>
        </w:tc>
      </w:tr>
      <w:tr w:rsidR="001D1DE0" w:rsidRPr="00BE0504" w14:paraId="7DBFB4D3" w14:textId="77777777" w:rsidTr="00565679">
        <w:trPr>
          <w:cantSplit/>
          <w:trHeight w:val="259"/>
        </w:trPr>
        <w:tc>
          <w:tcPr>
            <w:tcW w:w="2443" w:type="dxa"/>
          </w:tcPr>
          <w:p w14:paraId="5097BC73" w14:textId="469BED28" w:rsidR="001D1DE0" w:rsidRPr="006F17C0" w:rsidRDefault="001D1DE0" w:rsidP="00756690">
            <w:pPr>
              <w:pStyle w:val="TableText0"/>
            </w:pPr>
            <w:r w:rsidRPr="006F17C0">
              <w:t xml:space="preserve">Local </w:t>
            </w:r>
            <w:r w:rsidR="00BF7C34">
              <w:t>C</w:t>
            </w:r>
            <w:r w:rsidRPr="006F17C0">
              <w:t xml:space="preserve">ontrol </w:t>
            </w:r>
            <w:r w:rsidR="00BF7C34">
              <w:t>C</w:t>
            </w:r>
            <w:r w:rsidRPr="006F17C0">
              <w:t xml:space="preserve">entre </w:t>
            </w:r>
            <w:r w:rsidR="0060012C">
              <w:t>(LCC)</w:t>
            </w:r>
          </w:p>
        </w:tc>
        <w:tc>
          <w:tcPr>
            <w:tcW w:w="6570" w:type="dxa"/>
          </w:tcPr>
          <w:p w14:paraId="682565CF" w14:textId="77777777" w:rsidR="001D1DE0" w:rsidRPr="00370A53" w:rsidRDefault="001D1DE0" w:rsidP="00756690">
            <w:pPr>
              <w:pStyle w:val="TableText0"/>
            </w:pPr>
            <w:r w:rsidRPr="00370A53">
              <w:t xml:space="preserve">An emergency operations centre responsible for the command and control of field operations in a defined area. </w:t>
            </w:r>
          </w:p>
        </w:tc>
      </w:tr>
      <w:tr w:rsidR="001D1DE0" w:rsidRPr="00BE0504" w14:paraId="77118F39" w14:textId="77777777" w:rsidTr="00565679">
        <w:trPr>
          <w:cantSplit/>
          <w:trHeight w:val="383"/>
        </w:trPr>
        <w:tc>
          <w:tcPr>
            <w:tcW w:w="2443" w:type="dxa"/>
          </w:tcPr>
          <w:p w14:paraId="3E8901CE" w14:textId="77777777" w:rsidR="001D1DE0" w:rsidRPr="006F17C0" w:rsidRDefault="001D1DE0" w:rsidP="00756690">
            <w:pPr>
              <w:pStyle w:val="TableText0"/>
            </w:pPr>
            <w:r w:rsidRPr="006F17C0">
              <w:t xml:space="preserve">Monitoring </w:t>
            </w:r>
          </w:p>
        </w:tc>
        <w:tc>
          <w:tcPr>
            <w:tcW w:w="6570" w:type="dxa"/>
          </w:tcPr>
          <w:p w14:paraId="29171F1E" w14:textId="66E5FCE8" w:rsidR="001D1DE0" w:rsidRPr="006F17C0" w:rsidRDefault="00BF7C34" w:rsidP="00756690">
            <w:pPr>
              <w:pStyle w:val="TableText0"/>
            </w:pPr>
            <w:r w:rsidRPr="00657882">
              <w:t>Routine collection of data for assessing the health status of a population</w:t>
            </w:r>
            <w:r>
              <w:t xml:space="preserve"> or the level of contamination of a site for remediation purposes</w:t>
            </w:r>
            <w:r w:rsidRPr="00657882">
              <w:t>.</w:t>
            </w:r>
            <w:r w:rsidR="001D1DE0" w:rsidRPr="006F17C0">
              <w:t xml:space="preserve"> </w:t>
            </w:r>
            <w:r w:rsidR="001D1DE0" w:rsidRPr="00BF7C34">
              <w:rPr>
                <w:i/>
              </w:rPr>
              <w:t>See also</w:t>
            </w:r>
            <w:r w:rsidR="001D1DE0" w:rsidRPr="006F17C0">
              <w:t xml:space="preserve"> </w:t>
            </w:r>
            <w:r w:rsidR="001D1DE0" w:rsidRPr="00DF3105">
              <w:t>Surveillance</w:t>
            </w:r>
            <w:r w:rsidR="001D1DE0" w:rsidRPr="006F17C0">
              <w:t xml:space="preserve"> </w:t>
            </w:r>
          </w:p>
        </w:tc>
      </w:tr>
      <w:tr w:rsidR="001D1DE0" w:rsidRPr="00BE0504" w14:paraId="7D327C5F" w14:textId="77777777" w:rsidTr="00565679">
        <w:trPr>
          <w:cantSplit/>
          <w:trHeight w:val="259"/>
        </w:trPr>
        <w:tc>
          <w:tcPr>
            <w:tcW w:w="2443" w:type="dxa"/>
          </w:tcPr>
          <w:p w14:paraId="77B068ED" w14:textId="77777777" w:rsidR="001D1DE0" w:rsidRPr="006F17C0" w:rsidRDefault="001D1DE0" w:rsidP="00756690">
            <w:pPr>
              <w:pStyle w:val="TableText0"/>
            </w:pPr>
            <w:r w:rsidRPr="006F17C0">
              <w:t xml:space="preserve">Movement control </w:t>
            </w:r>
          </w:p>
        </w:tc>
        <w:tc>
          <w:tcPr>
            <w:tcW w:w="6570" w:type="dxa"/>
          </w:tcPr>
          <w:p w14:paraId="45B6499A" w14:textId="77777777" w:rsidR="001D1DE0" w:rsidRPr="006F17C0" w:rsidRDefault="001D1DE0" w:rsidP="00756690">
            <w:pPr>
              <w:pStyle w:val="TableText0"/>
            </w:pPr>
            <w:r w:rsidRPr="006F17C0">
              <w:t xml:space="preserve">Restrictions placed on the movement of animals, people and other things to prevent the spread of disease. </w:t>
            </w:r>
          </w:p>
        </w:tc>
      </w:tr>
      <w:tr w:rsidR="0060012C" w:rsidRPr="00BE0504" w14:paraId="6283893A" w14:textId="77777777" w:rsidTr="00565679">
        <w:trPr>
          <w:cantSplit/>
          <w:trHeight w:val="631"/>
        </w:trPr>
        <w:tc>
          <w:tcPr>
            <w:tcW w:w="2443" w:type="dxa"/>
          </w:tcPr>
          <w:p w14:paraId="0C268047" w14:textId="1F368BDE" w:rsidR="0060012C" w:rsidRPr="006F17C0" w:rsidRDefault="0060012C" w:rsidP="00756690">
            <w:pPr>
              <w:pStyle w:val="TableText0"/>
            </w:pPr>
            <w:r w:rsidRPr="006F17C0">
              <w:t>National Biosecurity Committee (NBC)</w:t>
            </w:r>
          </w:p>
        </w:tc>
        <w:tc>
          <w:tcPr>
            <w:tcW w:w="6570" w:type="dxa"/>
          </w:tcPr>
          <w:p w14:paraId="3C13E6A1" w14:textId="2ACEE6A1" w:rsidR="0060012C" w:rsidRPr="00370A53" w:rsidRDefault="0060012C" w:rsidP="00756690">
            <w:pPr>
              <w:pStyle w:val="TableText0"/>
            </w:pPr>
            <w:r w:rsidRPr="00ED6012">
              <w:t xml:space="preserve">The committee established independently of the </w:t>
            </w:r>
            <w:r w:rsidR="001F549E" w:rsidRPr="00EC0D05">
              <w:t>National Environmental Biosecurity Response Agreement</w:t>
            </w:r>
            <w:r w:rsidR="001F549E" w:rsidRPr="00ED6012">
              <w:t xml:space="preserve"> </w:t>
            </w:r>
            <w:r w:rsidR="001F549E">
              <w:t>(</w:t>
            </w:r>
            <w:r w:rsidRPr="00ED6012">
              <w:t>NEBRA</w:t>
            </w:r>
            <w:r w:rsidR="001F549E">
              <w:t>) that is</w:t>
            </w:r>
            <w:r w:rsidRPr="00ED6012">
              <w:t xml:space="preserve"> responsible for biosecurity matters, and tasked with managing a national, strategic approach to emerging and ongoing biosecurity policy issues as set out in </w:t>
            </w:r>
            <w:r w:rsidR="001F549E">
              <w:t xml:space="preserve">the </w:t>
            </w:r>
            <w:r w:rsidRPr="00ED6012">
              <w:t>NEBRA. This also means any successor bodies that undertake these roles.</w:t>
            </w:r>
          </w:p>
        </w:tc>
      </w:tr>
      <w:tr w:rsidR="002E2855" w:rsidRPr="00BE0504" w14:paraId="012948B5" w14:textId="77777777" w:rsidTr="00565679">
        <w:trPr>
          <w:cantSplit/>
          <w:trHeight w:val="631"/>
        </w:trPr>
        <w:tc>
          <w:tcPr>
            <w:tcW w:w="2443" w:type="dxa"/>
          </w:tcPr>
          <w:p w14:paraId="74D9F66D" w14:textId="352CC047" w:rsidR="002E2855" w:rsidRPr="006F17C0" w:rsidRDefault="002E2855" w:rsidP="00756690">
            <w:pPr>
              <w:pStyle w:val="TableText0"/>
            </w:pPr>
            <w:r w:rsidRPr="006F17C0">
              <w:t>National Biosecurity Management Consultative Committee (NMBCC)</w:t>
            </w:r>
          </w:p>
        </w:tc>
        <w:tc>
          <w:tcPr>
            <w:tcW w:w="6570" w:type="dxa"/>
          </w:tcPr>
          <w:p w14:paraId="68CFA63C" w14:textId="5E7269AE" w:rsidR="002E2855" w:rsidRPr="00ED6012" w:rsidRDefault="002E2855" w:rsidP="00756690">
            <w:pPr>
              <w:pStyle w:val="TableText0"/>
            </w:pPr>
            <w:r>
              <w:t>A</w:t>
            </w:r>
            <w:r w:rsidRPr="00ED6012">
              <w:t xml:space="preserve"> technical committee that will advise the </w:t>
            </w:r>
            <w:r w:rsidR="001F549E" w:rsidRPr="006F17C0">
              <w:t>National Biosecurity Management Group</w:t>
            </w:r>
            <w:r w:rsidR="001F549E" w:rsidRPr="00ED6012" w:rsidDel="001F549E">
              <w:t xml:space="preserve"> </w:t>
            </w:r>
            <w:r w:rsidRPr="00ED6012">
              <w:t xml:space="preserve">in relation to its biosecurity decision-making </w:t>
            </w:r>
            <w:r w:rsidR="00636C80" w:rsidRPr="00ED6012">
              <w:t>responsibilities and</w:t>
            </w:r>
            <w:r w:rsidRPr="00ED6012">
              <w:t xml:space="preserve"> will have a role in coordinating national biosecurity incident responses between the parties.</w:t>
            </w:r>
          </w:p>
        </w:tc>
      </w:tr>
      <w:tr w:rsidR="0060012C" w:rsidRPr="00BE0504" w14:paraId="2930C198" w14:textId="77777777" w:rsidTr="00565679">
        <w:trPr>
          <w:cantSplit/>
          <w:trHeight w:val="631"/>
        </w:trPr>
        <w:tc>
          <w:tcPr>
            <w:tcW w:w="2443" w:type="dxa"/>
          </w:tcPr>
          <w:p w14:paraId="2AECF0B8" w14:textId="51D8C2FC" w:rsidR="0060012C" w:rsidRPr="006F17C0" w:rsidRDefault="0060012C" w:rsidP="00756690">
            <w:pPr>
              <w:pStyle w:val="TableText0"/>
            </w:pPr>
            <w:r w:rsidRPr="006F17C0">
              <w:t>National Biosecurity Management Group (NBMG)</w:t>
            </w:r>
          </w:p>
        </w:tc>
        <w:tc>
          <w:tcPr>
            <w:tcW w:w="6570" w:type="dxa"/>
          </w:tcPr>
          <w:p w14:paraId="5EDB96B0" w14:textId="313B624F" w:rsidR="0060012C" w:rsidRPr="00370A53" w:rsidRDefault="001F549E" w:rsidP="001F549E">
            <w:pPr>
              <w:pStyle w:val="TableText0"/>
            </w:pPr>
            <w:r>
              <w:t>T</w:t>
            </w:r>
            <w:r w:rsidR="0060012C" w:rsidRPr="00ED6012">
              <w:t xml:space="preserve">he peak, national biosecurity decision-making forum through which parties would seek decisions in the event of an outbreak of a disease. Particular decisions to be made by the NBMG include whether the outbreak is of national significance, whether a national biosecurity incident response is required, approving of the </w:t>
            </w:r>
            <w:r w:rsidRPr="00ED6012">
              <w:t>National Biosecurity Incident Response Plan</w:t>
            </w:r>
            <w:r w:rsidR="0060012C" w:rsidRPr="00ED6012">
              <w:t>, and cost</w:t>
            </w:r>
            <w:r>
              <w:t xml:space="preserve"> </w:t>
            </w:r>
            <w:r w:rsidR="0060012C" w:rsidRPr="00ED6012">
              <w:t>sharing of eligible costs of implementing a</w:t>
            </w:r>
            <w:r w:rsidRPr="00ED6012">
              <w:t xml:space="preserve"> National Biosecurity Incident Response Plan</w:t>
            </w:r>
            <w:r>
              <w:t>.</w:t>
            </w:r>
          </w:p>
        </w:tc>
      </w:tr>
      <w:tr w:rsidR="00834335" w:rsidRPr="00BE0504" w14:paraId="4BBB9823" w14:textId="77777777" w:rsidTr="00565679">
        <w:trPr>
          <w:cantSplit/>
          <w:trHeight w:val="611"/>
        </w:trPr>
        <w:tc>
          <w:tcPr>
            <w:tcW w:w="2443" w:type="dxa"/>
          </w:tcPr>
          <w:p w14:paraId="0BC74454" w14:textId="1093F67C" w:rsidR="00834335" w:rsidRPr="006F17C0" w:rsidRDefault="00834335" w:rsidP="00756690">
            <w:pPr>
              <w:pStyle w:val="TableText0"/>
            </w:pPr>
            <w:r w:rsidRPr="006F17C0">
              <w:t>National biosecurity incident response</w:t>
            </w:r>
          </w:p>
        </w:tc>
        <w:tc>
          <w:tcPr>
            <w:tcW w:w="6570" w:type="dxa"/>
          </w:tcPr>
          <w:p w14:paraId="7694F658" w14:textId="4E37515B" w:rsidR="00834335" w:rsidRPr="00370A53" w:rsidRDefault="00834335" w:rsidP="001F549E">
            <w:pPr>
              <w:pStyle w:val="TableText0"/>
            </w:pPr>
            <w:r w:rsidRPr="00370A53">
              <w:t xml:space="preserve">In relation to a disease outbreak, an emergency response undertaken in accordance with, and outlined in, a </w:t>
            </w:r>
            <w:r w:rsidR="001F549E" w:rsidRPr="00370A53">
              <w:t>National Biosecurity Incident Response Plan</w:t>
            </w:r>
            <w:r w:rsidRPr="00370A53">
              <w:t xml:space="preserve">. </w:t>
            </w:r>
          </w:p>
        </w:tc>
      </w:tr>
      <w:tr w:rsidR="007F6BE3" w:rsidRPr="00BE0504" w14:paraId="65ACEAC5" w14:textId="77777777" w:rsidTr="00565679">
        <w:trPr>
          <w:cantSplit/>
          <w:trHeight w:val="507"/>
        </w:trPr>
        <w:tc>
          <w:tcPr>
            <w:tcW w:w="2443" w:type="dxa"/>
          </w:tcPr>
          <w:p w14:paraId="5FBE91DF" w14:textId="3B38F609" w:rsidR="007F6BE3" w:rsidRPr="006F17C0" w:rsidRDefault="007F6BE3" w:rsidP="00756690">
            <w:pPr>
              <w:pStyle w:val="TableText0"/>
            </w:pPr>
            <w:r w:rsidRPr="006F17C0">
              <w:t>National</w:t>
            </w:r>
            <w:r w:rsidR="001F549E" w:rsidRPr="006F17C0">
              <w:t xml:space="preserve"> Biosecurity Incident Response Plan</w:t>
            </w:r>
            <w:r w:rsidRPr="006F17C0">
              <w:t xml:space="preserve"> (</w:t>
            </w:r>
            <w:r w:rsidR="001F549E">
              <w:t>NRP</w:t>
            </w:r>
            <w:r w:rsidRPr="006F17C0">
              <w:t>)</w:t>
            </w:r>
          </w:p>
        </w:tc>
        <w:tc>
          <w:tcPr>
            <w:tcW w:w="6570" w:type="dxa"/>
          </w:tcPr>
          <w:p w14:paraId="2CEEF154" w14:textId="13439947" w:rsidR="007F6BE3" w:rsidRPr="00ED6012" w:rsidRDefault="007F6BE3" w:rsidP="00756690">
            <w:pPr>
              <w:pStyle w:val="TableText0"/>
            </w:pPr>
            <w:r w:rsidRPr="00ED6012">
              <w:t xml:space="preserve">Plan outlining an emergency response to a disease outbreak that is prepared and approved in accordance with the </w:t>
            </w:r>
            <w:r w:rsidR="001F549E" w:rsidRPr="00EC0D05">
              <w:t>National Environmental Biosecurity Response Agreement</w:t>
            </w:r>
            <w:r w:rsidR="001F549E" w:rsidRPr="00ED6012" w:rsidDel="001F549E">
              <w:t xml:space="preserve"> </w:t>
            </w:r>
            <w:r w:rsidR="00DF0781" w:rsidRPr="00ED6012">
              <w:t>and</w:t>
            </w:r>
            <w:r w:rsidRPr="00ED6012">
              <w:t xml:space="preserve"> may be subject to cost-sharing arrangements.</w:t>
            </w:r>
          </w:p>
        </w:tc>
      </w:tr>
      <w:tr w:rsidR="001D1DE0" w:rsidRPr="00BE0504" w14:paraId="59763ECF" w14:textId="77777777" w:rsidTr="00565679">
        <w:trPr>
          <w:cantSplit/>
          <w:trHeight w:val="507"/>
        </w:trPr>
        <w:tc>
          <w:tcPr>
            <w:tcW w:w="2443" w:type="dxa"/>
          </w:tcPr>
          <w:p w14:paraId="5A1095AD" w14:textId="22F10A8C" w:rsidR="001D1DE0" w:rsidRPr="006F17C0" w:rsidRDefault="001D1DE0" w:rsidP="00756690">
            <w:pPr>
              <w:pStyle w:val="TableText0"/>
            </w:pPr>
            <w:r w:rsidRPr="006F17C0">
              <w:t xml:space="preserve">National </w:t>
            </w:r>
            <w:r w:rsidR="001F549E" w:rsidRPr="006F17C0">
              <w:t>Coordination Centre</w:t>
            </w:r>
            <w:r w:rsidRPr="006F17C0">
              <w:t xml:space="preserve"> </w:t>
            </w:r>
            <w:r w:rsidR="00C05D3D" w:rsidRPr="006F17C0">
              <w:t>(</w:t>
            </w:r>
            <w:r w:rsidR="00720B9C" w:rsidRPr="006F17C0">
              <w:t>NCC</w:t>
            </w:r>
            <w:r w:rsidR="00C05D3D" w:rsidRPr="006F17C0">
              <w:t>)</w:t>
            </w:r>
          </w:p>
        </w:tc>
        <w:tc>
          <w:tcPr>
            <w:tcW w:w="6570" w:type="dxa"/>
          </w:tcPr>
          <w:p w14:paraId="494AE66A" w14:textId="3610750C" w:rsidR="001D1DE0" w:rsidRPr="00ED6012" w:rsidRDefault="001D1DE0" w:rsidP="00756690">
            <w:pPr>
              <w:pStyle w:val="TableText0"/>
            </w:pPr>
            <w:r w:rsidRPr="00ED6012">
              <w:t xml:space="preserve">Centre responsible for the coordination of Australian Government, national and international communications during a disease emergency (part of the National </w:t>
            </w:r>
            <w:r w:rsidR="00B36D63">
              <w:t xml:space="preserve">Biosecurity </w:t>
            </w:r>
            <w:r w:rsidRPr="00ED6012">
              <w:t xml:space="preserve">Communications </w:t>
            </w:r>
            <w:r w:rsidR="00B36D63">
              <w:t xml:space="preserve">and Extension </w:t>
            </w:r>
            <w:r w:rsidRPr="00ED6012">
              <w:t xml:space="preserve">Network). </w:t>
            </w:r>
          </w:p>
        </w:tc>
      </w:tr>
      <w:tr w:rsidR="001D1DE0" w:rsidRPr="00BE0504" w14:paraId="7704F81C" w14:textId="77777777" w:rsidTr="00565679">
        <w:trPr>
          <w:cantSplit/>
          <w:trHeight w:val="377"/>
        </w:trPr>
        <w:tc>
          <w:tcPr>
            <w:tcW w:w="2443" w:type="dxa"/>
          </w:tcPr>
          <w:p w14:paraId="28545DEC" w14:textId="77777777" w:rsidR="001D1DE0" w:rsidRPr="006F17C0" w:rsidRDefault="001D1DE0" w:rsidP="00756690">
            <w:pPr>
              <w:pStyle w:val="TableText0"/>
            </w:pPr>
            <w:r w:rsidRPr="006F17C0">
              <w:t xml:space="preserve">Native wildlife </w:t>
            </w:r>
          </w:p>
        </w:tc>
        <w:tc>
          <w:tcPr>
            <w:tcW w:w="6570" w:type="dxa"/>
          </w:tcPr>
          <w:p w14:paraId="47A3EE97" w14:textId="77777777" w:rsidR="001D1DE0" w:rsidRPr="006F17C0" w:rsidRDefault="001D1DE0" w:rsidP="00756690">
            <w:pPr>
              <w:pStyle w:val="TableText0"/>
            </w:pPr>
            <w:r w:rsidRPr="001F549E">
              <w:rPr>
                <w:i/>
              </w:rPr>
              <w:t>See</w:t>
            </w:r>
            <w:r w:rsidRPr="006F17C0">
              <w:t xml:space="preserve"> </w:t>
            </w:r>
            <w:r w:rsidRPr="00B4477E">
              <w:t>Wild</w:t>
            </w:r>
            <w:r w:rsidRPr="006F17C0">
              <w:t xml:space="preserve"> animals </w:t>
            </w:r>
          </w:p>
        </w:tc>
      </w:tr>
      <w:tr w:rsidR="007F6BE3" w:rsidRPr="00BE0504" w14:paraId="2C83CC40" w14:textId="77777777" w:rsidTr="00565679">
        <w:trPr>
          <w:cantSplit/>
          <w:trHeight w:val="384"/>
        </w:trPr>
        <w:tc>
          <w:tcPr>
            <w:tcW w:w="2443" w:type="dxa"/>
          </w:tcPr>
          <w:p w14:paraId="7A916B3E" w14:textId="0C67FA60" w:rsidR="007F6BE3" w:rsidRPr="006F17C0" w:rsidRDefault="007F6BE3" w:rsidP="00756690">
            <w:pPr>
              <w:pStyle w:val="TableText0"/>
            </w:pPr>
            <w:r w:rsidRPr="006F17C0">
              <w:t>Normal commitments</w:t>
            </w:r>
          </w:p>
        </w:tc>
        <w:tc>
          <w:tcPr>
            <w:tcW w:w="6570" w:type="dxa"/>
          </w:tcPr>
          <w:p w14:paraId="37CC1D10" w14:textId="2DDBBDC7" w:rsidR="007F6BE3" w:rsidRPr="00ED6012" w:rsidRDefault="007F6BE3" w:rsidP="001F549E">
            <w:pPr>
              <w:pStyle w:val="TableText0"/>
            </w:pPr>
            <w:r w:rsidRPr="00ED6012">
              <w:t>The resource costs of a party that exist for, or are required to carry out, its normal biosecurity commitments (including technical and operational requirements)</w:t>
            </w:r>
            <w:r w:rsidR="001F549E">
              <w:t>. These costs are</w:t>
            </w:r>
            <w:r w:rsidRPr="00ED6012">
              <w:t xml:space="preserve"> considered as a baseline above which other costs that are required to respond to an outbreak of a disease may</w:t>
            </w:r>
            <w:r w:rsidR="00DF5B18">
              <w:t xml:space="preserve"> </w:t>
            </w:r>
            <w:r w:rsidRPr="00ED6012">
              <w:t>be eligible for cost</w:t>
            </w:r>
            <w:r w:rsidR="001F549E">
              <w:t xml:space="preserve"> </w:t>
            </w:r>
            <w:r w:rsidRPr="00ED6012">
              <w:t xml:space="preserve">sharing. Guidelines for the interpretation of what constitutes normal commitments will be determined by unanimous decision of the ministers </w:t>
            </w:r>
            <w:r w:rsidR="001F549E">
              <w:t>with</w:t>
            </w:r>
            <w:r w:rsidRPr="00ED6012">
              <w:t xml:space="preserve"> responsibility for each of the parties to </w:t>
            </w:r>
            <w:r w:rsidR="001F549E">
              <w:t>the</w:t>
            </w:r>
            <w:r w:rsidR="001F549E" w:rsidRPr="00ED6012">
              <w:t xml:space="preserve"> </w:t>
            </w:r>
            <w:r w:rsidRPr="00ED6012">
              <w:t xml:space="preserve">agreement. </w:t>
            </w:r>
          </w:p>
        </w:tc>
      </w:tr>
      <w:tr w:rsidR="001D1DE0" w:rsidRPr="00BE0504" w14:paraId="50EDB578" w14:textId="77777777" w:rsidTr="00565679">
        <w:trPr>
          <w:cantSplit/>
          <w:trHeight w:val="383"/>
        </w:trPr>
        <w:tc>
          <w:tcPr>
            <w:tcW w:w="2443" w:type="dxa"/>
          </w:tcPr>
          <w:p w14:paraId="4E14FC60" w14:textId="77777777" w:rsidR="001D1DE0" w:rsidRPr="006F17C0" w:rsidRDefault="001D1DE0" w:rsidP="00756690">
            <w:pPr>
              <w:pStyle w:val="TableText0"/>
            </w:pPr>
            <w:r w:rsidRPr="006F17C0">
              <w:t xml:space="preserve">Operational procedures </w:t>
            </w:r>
          </w:p>
        </w:tc>
        <w:tc>
          <w:tcPr>
            <w:tcW w:w="6570" w:type="dxa"/>
          </w:tcPr>
          <w:p w14:paraId="1622D262" w14:textId="77777777" w:rsidR="001D1DE0" w:rsidRPr="006F17C0" w:rsidRDefault="001D1DE0" w:rsidP="00756690">
            <w:pPr>
              <w:pStyle w:val="TableText0"/>
            </w:pPr>
            <w:r w:rsidRPr="006F17C0">
              <w:t xml:space="preserve">Detailed instructions for carrying out specific disease control activities, such as disposal, destruction, decontamination and valuation. </w:t>
            </w:r>
          </w:p>
        </w:tc>
      </w:tr>
      <w:tr w:rsidR="002244B1" w:rsidRPr="00BE0504" w14:paraId="10DE1129" w14:textId="77777777" w:rsidTr="00565679">
        <w:trPr>
          <w:cantSplit/>
          <w:trHeight w:val="383"/>
        </w:trPr>
        <w:tc>
          <w:tcPr>
            <w:tcW w:w="2443" w:type="dxa"/>
          </w:tcPr>
          <w:p w14:paraId="0B247D24" w14:textId="2A91EE99" w:rsidR="002244B1" w:rsidRPr="006F17C0" w:rsidRDefault="002244B1" w:rsidP="00756690">
            <w:pPr>
              <w:pStyle w:val="TableText0"/>
            </w:pPr>
            <w:r w:rsidRPr="006F17C0">
              <w:t>Outbreak</w:t>
            </w:r>
          </w:p>
        </w:tc>
        <w:tc>
          <w:tcPr>
            <w:tcW w:w="6570" w:type="dxa"/>
          </w:tcPr>
          <w:p w14:paraId="5BA8D8CB" w14:textId="620C58BA" w:rsidR="002244B1" w:rsidRPr="00FB0327" w:rsidRDefault="002244B1" w:rsidP="00756690">
            <w:pPr>
              <w:pStyle w:val="TableText0"/>
            </w:pPr>
            <w:r w:rsidRPr="00FB0327">
              <w:t>In relation to diseases</w:t>
            </w:r>
            <w:r w:rsidR="001F549E">
              <w:t>, a</w:t>
            </w:r>
            <w:r w:rsidRPr="00FB0327">
              <w:t xml:space="preserve"> recently detected outbreak of:</w:t>
            </w:r>
          </w:p>
          <w:p w14:paraId="7791C66C" w14:textId="1CC9477E" w:rsidR="002244B1" w:rsidRPr="00FB0327" w:rsidRDefault="002244B1" w:rsidP="001F549E">
            <w:pPr>
              <w:pStyle w:val="TableBullet"/>
            </w:pPr>
            <w:r w:rsidRPr="00FB0327">
              <w:t>a known disease</w:t>
            </w:r>
            <w:r w:rsidR="001F549E">
              <w:t>, or</w:t>
            </w:r>
          </w:p>
          <w:p w14:paraId="2E7625E8" w14:textId="0EB4C4D2" w:rsidR="002244B1" w:rsidRPr="00FB0327" w:rsidRDefault="002244B1" w:rsidP="001F549E">
            <w:pPr>
              <w:pStyle w:val="TableBullet"/>
            </w:pPr>
            <w:r w:rsidRPr="00FB0327">
              <w:t>a distinguishable variant of a disease that is established, but not a new incidence of an established disease</w:t>
            </w:r>
            <w:r w:rsidR="001F549E">
              <w:t>, or</w:t>
            </w:r>
          </w:p>
          <w:p w14:paraId="0598F4C0" w14:textId="0E0BCBAA" w:rsidR="002244B1" w:rsidRPr="00FB0327" w:rsidRDefault="002244B1" w:rsidP="001F549E">
            <w:pPr>
              <w:pStyle w:val="TableBullet"/>
            </w:pPr>
            <w:r w:rsidRPr="00FB0327">
              <w:t>a disease of unknown or uncertain origin, or</w:t>
            </w:r>
          </w:p>
          <w:p w14:paraId="11E171F9" w14:textId="47C6D7FE" w:rsidR="002244B1" w:rsidRPr="00FB0327" w:rsidRDefault="002244B1" w:rsidP="001F549E">
            <w:pPr>
              <w:pStyle w:val="TableBullet"/>
            </w:pPr>
            <w:r w:rsidRPr="00FB0327">
              <w:t>a disease that is a potential threat to an area but is not yet present or widely distributed</w:t>
            </w:r>
            <w:r w:rsidR="001F549E">
              <w:t>,</w:t>
            </w:r>
            <w:r w:rsidRPr="00FB0327">
              <w:t xml:space="preserve"> or being officially </w:t>
            </w:r>
            <w:r w:rsidR="00636C80" w:rsidRPr="00FB0327">
              <w:t>controlled</w:t>
            </w:r>
            <w:r w:rsidR="001F549E">
              <w:t>,</w:t>
            </w:r>
            <w:r w:rsidR="00636C80" w:rsidRPr="00FB0327">
              <w:t xml:space="preserve"> but</w:t>
            </w:r>
            <w:r w:rsidRPr="00FB0327">
              <w:t xml:space="preserve"> is in such a fulminant form that an emergency response is required to ensure </w:t>
            </w:r>
            <w:r w:rsidR="001F549E">
              <w:t xml:space="preserve">that </w:t>
            </w:r>
            <w:r w:rsidRPr="00FB0327">
              <w:t>there is not a large-scale epidemic of regional or national significance</w:t>
            </w:r>
            <w:r w:rsidR="001F549E">
              <w:t>,</w:t>
            </w:r>
            <w:r w:rsidRPr="00FB0327">
              <w:t xml:space="preserve"> or serious loss of market access.</w:t>
            </w:r>
          </w:p>
        </w:tc>
      </w:tr>
      <w:tr w:rsidR="001D1DE0" w:rsidRPr="00BE0504" w14:paraId="22E853B4" w14:textId="77777777" w:rsidTr="00565679">
        <w:trPr>
          <w:cantSplit/>
          <w:trHeight w:val="259"/>
        </w:trPr>
        <w:tc>
          <w:tcPr>
            <w:tcW w:w="2443" w:type="dxa"/>
          </w:tcPr>
          <w:p w14:paraId="4A579B74" w14:textId="77777777" w:rsidR="001D1DE0" w:rsidRPr="006F17C0" w:rsidRDefault="001D1DE0" w:rsidP="00756690">
            <w:pPr>
              <w:pStyle w:val="TableText0"/>
            </w:pPr>
            <w:r w:rsidRPr="006F17C0">
              <w:t xml:space="preserve">Owner </w:t>
            </w:r>
          </w:p>
        </w:tc>
        <w:tc>
          <w:tcPr>
            <w:tcW w:w="6570" w:type="dxa"/>
          </w:tcPr>
          <w:p w14:paraId="1DF38955" w14:textId="5978035A" w:rsidR="001D1DE0" w:rsidRPr="00ED6012" w:rsidRDefault="001D1DE0" w:rsidP="00756690">
            <w:pPr>
              <w:pStyle w:val="TableText0"/>
              <w:rPr>
                <w:color w:val="7030A0"/>
              </w:rPr>
            </w:pPr>
            <w:r w:rsidRPr="006F17C0">
              <w:t xml:space="preserve">Person responsible for a premise (includes an agent of the owner, such as a manager or other controlling officer). </w:t>
            </w:r>
          </w:p>
        </w:tc>
      </w:tr>
      <w:tr w:rsidR="007A363D" w:rsidRPr="00BE0504" w14:paraId="3A674400" w14:textId="77777777" w:rsidTr="00565679">
        <w:trPr>
          <w:cantSplit/>
          <w:trHeight w:val="383"/>
        </w:trPr>
        <w:tc>
          <w:tcPr>
            <w:tcW w:w="2443" w:type="dxa"/>
          </w:tcPr>
          <w:p w14:paraId="18B12FE5" w14:textId="18E53488" w:rsidR="007A363D" w:rsidRPr="006F17C0" w:rsidRDefault="007A363D" w:rsidP="00756690">
            <w:pPr>
              <w:pStyle w:val="TableText0"/>
            </w:pPr>
            <w:r w:rsidRPr="006F17C0">
              <w:t>Pre-existing cost-sharing arrangement</w:t>
            </w:r>
          </w:p>
        </w:tc>
        <w:tc>
          <w:tcPr>
            <w:tcW w:w="6570" w:type="dxa"/>
          </w:tcPr>
          <w:p w14:paraId="02C111FB" w14:textId="47EF5952" w:rsidR="007A363D" w:rsidRPr="00FB0327" w:rsidRDefault="007A363D" w:rsidP="00756690">
            <w:pPr>
              <w:pStyle w:val="TableText0"/>
            </w:pPr>
            <w:r w:rsidRPr="00ED6012">
              <w:t>In relation to an emergency response to a disease</w:t>
            </w:r>
            <w:r w:rsidRPr="00FB0327">
              <w:t>:</w:t>
            </w:r>
          </w:p>
          <w:p w14:paraId="54992347" w14:textId="49291381" w:rsidR="007A363D" w:rsidRPr="00FB0327" w:rsidRDefault="001F549E" w:rsidP="001F549E">
            <w:pPr>
              <w:pStyle w:val="TableBullet"/>
            </w:pPr>
            <w:r>
              <w:t xml:space="preserve">the </w:t>
            </w:r>
            <w:r w:rsidRPr="006F17C0">
              <w:t>Emergency Animal Disease Response Agreement</w:t>
            </w:r>
            <w:r>
              <w:t>,</w:t>
            </w:r>
            <w:r w:rsidR="007A363D" w:rsidRPr="00FB0327">
              <w:t xml:space="preserve"> or</w:t>
            </w:r>
          </w:p>
          <w:p w14:paraId="60871CC3" w14:textId="7D0D2F30" w:rsidR="007A363D" w:rsidRPr="00FB0327" w:rsidRDefault="007A363D" w:rsidP="001F549E">
            <w:pPr>
              <w:pStyle w:val="TableBullet"/>
            </w:pPr>
            <w:r w:rsidRPr="00FB0327">
              <w:t xml:space="preserve">national arrangements in the health sector. </w:t>
            </w:r>
          </w:p>
        </w:tc>
      </w:tr>
      <w:tr w:rsidR="001D1DE0" w:rsidRPr="00BE0504" w14:paraId="6421407F" w14:textId="77777777" w:rsidTr="00565679">
        <w:trPr>
          <w:cantSplit/>
          <w:trHeight w:val="383"/>
        </w:trPr>
        <w:tc>
          <w:tcPr>
            <w:tcW w:w="2443" w:type="dxa"/>
          </w:tcPr>
          <w:p w14:paraId="45DFE15A" w14:textId="77777777" w:rsidR="001D1DE0" w:rsidRPr="006F17C0" w:rsidRDefault="001D1DE0" w:rsidP="00756690">
            <w:pPr>
              <w:pStyle w:val="TableText0"/>
            </w:pPr>
            <w:r w:rsidRPr="006F17C0">
              <w:t xml:space="preserve">Premises </w:t>
            </w:r>
          </w:p>
        </w:tc>
        <w:tc>
          <w:tcPr>
            <w:tcW w:w="6570" w:type="dxa"/>
          </w:tcPr>
          <w:p w14:paraId="38D5260B" w14:textId="77777777" w:rsidR="001D1DE0" w:rsidRPr="00FB0327" w:rsidRDefault="001D1DE0" w:rsidP="00756690">
            <w:pPr>
              <w:pStyle w:val="TableText0"/>
            </w:pPr>
            <w:r w:rsidRPr="00FB0327">
              <w:t xml:space="preserve">A tract of land including its buildings, or a separate farm or facility that is maintained by a single set of services and personnel. </w:t>
            </w:r>
          </w:p>
        </w:tc>
      </w:tr>
      <w:tr w:rsidR="00C02D88" w:rsidRPr="00BE0504" w14:paraId="62210537" w14:textId="77777777" w:rsidTr="00565679">
        <w:trPr>
          <w:cantSplit/>
          <w:trHeight w:val="383"/>
        </w:trPr>
        <w:tc>
          <w:tcPr>
            <w:tcW w:w="2443" w:type="dxa"/>
          </w:tcPr>
          <w:p w14:paraId="45A258C2" w14:textId="2DDC6D19" w:rsidR="00C02D88" w:rsidRPr="006F17C0" w:rsidRDefault="00C02D88" w:rsidP="00756690">
            <w:pPr>
              <w:pStyle w:val="TableText0"/>
            </w:pPr>
            <w:r w:rsidRPr="006F17C0">
              <w:t>Proof of freedom</w:t>
            </w:r>
          </w:p>
        </w:tc>
        <w:tc>
          <w:tcPr>
            <w:tcW w:w="6570" w:type="dxa"/>
          </w:tcPr>
          <w:p w14:paraId="0033E691" w14:textId="1AFF6C74" w:rsidR="00C02D88" w:rsidRPr="00FB0327" w:rsidRDefault="0048259A" w:rsidP="00756690">
            <w:pPr>
              <w:pStyle w:val="TableText0"/>
            </w:pPr>
            <w:r>
              <w:t>Reaching a point following an outbreak and post-outbreak surveillance when freedom from the disease can be claimed with a reasonable level of statistical confidence.</w:t>
            </w:r>
          </w:p>
        </w:tc>
      </w:tr>
      <w:tr w:rsidR="00C02D88" w:rsidRPr="00BE0504" w14:paraId="36FDB170" w14:textId="77777777" w:rsidTr="00565679">
        <w:trPr>
          <w:cantSplit/>
          <w:trHeight w:val="383"/>
        </w:trPr>
        <w:tc>
          <w:tcPr>
            <w:tcW w:w="2443" w:type="dxa"/>
          </w:tcPr>
          <w:p w14:paraId="149BC921" w14:textId="561EC207" w:rsidR="00C02D88" w:rsidRPr="006F17C0" w:rsidRDefault="00C02D88" w:rsidP="00756690">
            <w:pPr>
              <w:pStyle w:val="TableText0"/>
            </w:pPr>
            <w:r w:rsidRPr="006F17C0">
              <w:t>Public benefit</w:t>
            </w:r>
          </w:p>
        </w:tc>
        <w:tc>
          <w:tcPr>
            <w:tcW w:w="6570" w:type="dxa"/>
          </w:tcPr>
          <w:p w14:paraId="377FA585" w14:textId="450B68EF" w:rsidR="00C02D88" w:rsidRPr="00ED6012" w:rsidRDefault="00C02D88" w:rsidP="0048259A">
            <w:pPr>
              <w:pStyle w:val="TableText0"/>
            </w:pPr>
            <w:r w:rsidRPr="00ED6012">
              <w:t xml:space="preserve">The </w:t>
            </w:r>
            <w:r w:rsidR="0048259A">
              <w:t xml:space="preserve">benefit received by the </w:t>
            </w:r>
            <w:r w:rsidRPr="00ED6012">
              <w:t xml:space="preserve">community from a national biosecurity incident response, regardless of whether the benefit is economic, non-economic, environmental or intangible. </w:t>
            </w:r>
          </w:p>
        </w:tc>
      </w:tr>
      <w:tr w:rsidR="001D1DE0" w:rsidRPr="00BE0504" w14:paraId="4F80747C" w14:textId="77777777" w:rsidTr="00565679">
        <w:trPr>
          <w:cantSplit/>
          <w:trHeight w:val="383"/>
        </w:trPr>
        <w:tc>
          <w:tcPr>
            <w:tcW w:w="2443" w:type="dxa"/>
          </w:tcPr>
          <w:p w14:paraId="4CAA259E" w14:textId="77777777" w:rsidR="001D1DE0" w:rsidRPr="006F17C0" w:rsidRDefault="001D1DE0" w:rsidP="00756690">
            <w:pPr>
              <w:pStyle w:val="TableText0"/>
            </w:pPr>
            <w:r w:rsidRPr="006F17C0">
              <w:t xml:space="preserve">Quarantine </w:t>
            </w:r>
          </w:p>
        </w:tc>
        <w:tc>
          <w:tcPr>
            <w:tcW w:w="6570" w:type="dxa"/>
          </w:tcPr>
          <w:p w14:paraId="367206ED" w14:textId="77777777" w:rsidR="001D1DE0" w:rsidRPr="00FB0327" w:rsidRDefault="001D1DE0" w:rsidP="00756690">
            <w:pPr>
              <w:pStyle w:val="TableText0"/>
            </w:pPr>
            <w:r w:rsidRPr="00FB0327">
              <w:t xml:space="preserve">Legal restrictions imposed on a place or a tract of land by the serving of a notice limiting access or egress of specified animals, persons or things. </w:t>
            </w:r>
          </w:p>
        </w:tc>
      </w:tr>
      <w:tr w:rsidR="001E0825" w:rsidRPr="00BE0504" w14:paraId="1674B49F" w14:textId="77777777" w:rsidTr="00565679">
        <w:trPr>
          <w:cantSplit/>
          <w:trHeight w:val="383"/>
        </w:trPr>
        <w:tc>
          <w:tcPr>
            <w:tcW w:w="2443" w:type="dxa"/>
          </w:tcPr>
          <w:p w14:paraId="67132467" w14:textId="781120FC" w:rsidR="001E0825" w:rsidRPr="00ED6012" w:rsidRDefault="001E0825" w:rsidP="00756690">
            <w:pPr>
              <w:pStyle w:val="TableText0"/>
            </w:pPr>
            <w:r w:rsidRPr="00ED6012">
              <w:t>Recovery</w:t>
            </w:r>
          </w:p>
        </w:tc>
        <w:tc>
          <w:tcPr>
            <w:tcW w:w="6570" w:type="dxa"/>
          </w:tcPr>
          <w:p w14:paraId="6468759B" w14:textId="6EC9D58E" w:rsidR="001E0825" w:rsidRPr="00ED6012" w:rsidRDefault="001E0825" w:rsidP="0048259A">
            <w:pPr>
              <w:pStyle w:val="TableText0"/>
            </w:pPr>
            <w:r w:rsidRPr="00ED6012">
              <w:t>In relation to diseases, the restoration of physical, environmental and economic elements</w:t>
            </w:r>
            <w:r w:rsidR="0048259A">
              <w:t>,</w:t>
            </w:r>
            <w:r w:rsidRPr="00ED6012">
              <w:t xml:space="preserve"> as well as psychosocial </w:t>
            </w:r>
            <w:r w:rsidR="000D660C" w:rsidRPr="00ED6012">
              <w:t>wellbeing</w:t>
            </w:r>
            <w:r w:rsidR="0048259A">
              <w:t>,</w:t>
            </w:r>
            <w:r w:rsidRPr="00ED6012">
              <w:t xml:space="preserve"> following an emergency response.</w:t>
            </w:r>
          </w:p>
        </w:tc>
      </w:tr>
      <w:tr w:rsidR="001D1DE0" w:rsidRPr="00BE0504" w14:paraId="5F8567D2" w14:textId="77777777" w:rsidTr="00565679">
        <w:trPr>
          <w:cantSplit/>
          <w:trHeight w:val="383"/>
        </w:trPr>
        <w:tc>
          <w:tcPr>
            <w:tcW w:w="2443" w:type="dxa"/>
          </w:tcPr>
          <w:p w14:paraId="0E019057" w14:textId="5F112876" w:rsidR="001D1DE0" w:rsidRPr="006F17C0" w:rsidRDefault="001D1DE0" w:rsidP="00756690">
            <w:pPr>
              <w:pStyle w:val="TableText0"/>
            </w:pPr>
            <w:r w:rsidRPr="006F17C0">
              <w:t xml:space="preserve">Restricted area </w:t>
            </w:r>
            <w:r w:rsidR="009D0832">
              <w:t>(</w:t>
            </w:r>
            <w:r w:rsidR="00720B9C" w:rsidRPr="006F17C0">
              <w:t>RA</w:t>
            </w:r>
            <w:r w:rsidR="009D0832">
              <w:t>)</w:t>
            </w:r>
          </w:p>
        </w:tc>
        <w:tc>
          <w:tcPr>
            <w:tcW w:w="6570" w:type="dxa"/>
          </w:tcPr>
          <w:p w14:paraId="6D0B2488" w14:textId="77487A1D" w:rsidR="001D1DE0" w:rsidRPr="00ED6012" w:rsidRDefault="0048259A" w:rsidP="00756690">
            <w:pPr>
              <w:pStyle w:val="TableText0"/>
            </w:pPr>
            <w:r w:rsidRPr="006E3D84">
              <w:t xml:space="preserve">A relatively small </w:t>
            </w:r>
            <w:r>
              <w:t xml:space="preserve">legally </w:t>
            </w:r>
            <w:r w:rsidRPr="006E3D84">
              <w:t xml:space="preserve">declared area around infected premises and dangerous contact premises that is subject to </w:t>
            </w:r>
            <w:r>
              <w:t xml:space="preserve">disease controls, including </w:t>
            </w:r>
            <w:r w:rsidRPr="006E3D84">
              <w:t>intense surv</w:t>
            </w:r>
            <w:r>
              <w:t>eillance and movement controls</w:t>
            </w:r>
            <w:r w:rsidRPr="00D02E96">
              <w:t>.</w:t>
            </w:r>
            <w:r w:rsidR="001D1DE0" w:rsidRPr="00ED6012">
              <w:t xml:space="preserve"> </w:t>
            </w:r>
          </w:p>
        </w:tc>
      </w:tr>
      <w:tr w:rsidR="001E0825" w:rsidRPr="00BE0504" w14:paraId="27028F03" w14:textId="77777777" w:rsidTr="00565679">
        <w:trPr>
          <w:cantSplit/>
          <w:trHeight w:val="383"/>
        </w:trPr>
        <w:tc>
          <w:tcPr>
            <w:tcW w:w="2443" w:type="dxa"/>
          </w:tcPr>
          <w:p w14:paraId="05D30137" w14:textId="5C09BAEF" w:rsidR="001E0825" w:rsidRPr="006F17C0" w:rsidRDefault="001E0825" w:rsidP="00756690">
            <w:pPr>
              <w:pStyle w:val="TableText0"/>
            </w:pPr>
            <w:r w:rsidRPr="006F17C0">
              <w:t>Risk assessment</w:t>
            </w:r>
          </w:p>
        </w:tc>
        <w:tc>
          <w:tcPr>
            <w:tcW w:w="6570" w:type="dxa"/>
          </w:tcPr>
          <w:p w14:paraId="0AE24F22" w14:textId="34885A83" w:rsidR="001E0825" w:rsidRPr="00ED6012" w:rsidRDefault="00F02962" w:rsidP="00756690">
            <w:pPr>
              <w:pStyle w:val="TableText0"/>
            </w:pPr>
            <w:r>
              <w:t>T</w:t>
            </w:r>
            <w:r w:rsidR="001E0825" w:rsidRPr="00ED6012">
              <w:t xml:space="preserve">he evaluation of the likelihood and the impacts of entry, establishment or spread of a disease, as set out in </w:t>
            </w:r>
            <w:r w:rsidR="0048259A">
              <w:t xml:space="preserve">the </w:t>
            </w:r>
            <w:r w:rsidR="0048259A" w:rsidRPr="00EC0D05">
              <w:t>National Environmental Biosecurity Response Agreement</w:t>
            </w:r>
            <w:r w:rsidR="0048259A">
              <w:t>.</w:t>
            </w:r>
          </w:p>
        </w:tc>
      </w:tr>
      <w:tr w:rsidR="001D1DE0" w:rsidRPr="00BE0504" w14:paraId="46AB2C3B" w14:textId="77777777" w:rsidTr="00565679">
        <w:trPr>
          <w:cantSplit/>
          <w:trHeight w:val="1004"/>
        </w:trPr>
        <w:tc>
          <w:tcPr>
            <w:tcW w:w="2443" w:type="dxa"/>
          </w:tcPr>
          <w:p w14:paraId="1BECCB38" w14:textId="77777777" w:rsidR="001D1DE0" w:rsidRPr="006F17C0" w:rsidRDefault="001D1DE0" w:rsidP="00756690">
            <w:pPr>
              <w:pStyle w:val="TableText0"/>
            </w:pPr>
            <w:r w:rsidRPr="006F17C0">
              <w:t xml:space="preserve">Risk enterprise </w:t>
            </w:r>
          </w:p>
        </w:tc>
        <w:tc>
          <w:tcPr>
            <w:tcW w:w="6570" w:type="dxa"/>
          </w:tcPr>
          <w:p w14:paraId="663CD458" w14:textId="539375D6" w:rsidR="001D1DE0" w:rsidRPr="00FB0327" w:rsidRDefault="0048259A" w:rsidP="00756690">
            <w:pPr>
              <w:pStyle w:val="TableText0"/>
            </w:pPr>
            <w:r w:rsidRPr="00524625">
              <w:t>A defined livestock or related enterprise</w:t>
            </w:r>
            <w:r>
              <w:t xml:space="preserve"> that</w:t>
            </w:r>
            <w:r w:rsidRPr="00524625">
              <w:t xml:space="preserve"> is potentially a major source of infection for many other premises. Includes intensive piggeries, feedlots, abattoirs, knackeries, saleyards, calf scales, milk factories, tanneries, skin sheds, game meat establishments, cold stores, artificial insemination centres, veterinary laboratories and hospitals, road and rail freight depots, showgrounds, field days, weighbridges</w:t>
            </w:r>
            <w:r>
              <w:t xml:space="preserve"> and</w:t>
            </w:r>
            <w:r w:rsidRPr="00524625">
              <w:t xml:space="preserve"> garbage depots.</w:t>
            </w:r>
            <w:r w:rsidR="001D1DE0" w:rsidRPr="00FB0327">
              <w:t xml:space="preserve"> </w:t>
            </w:r>
          </w:p>
        </w:tc>
      </w:tr>
      <w:tr w:rsidR="001C589B" w:rsidRPr="00BE0504" w14:paraId="714F835C" w14:textId="77777777" w:rsidTr="00565679">
        <w:trPr>
          <w:cantSplit/>
          <w:trHeight w:val="656"/>
        </w:trPr>
        <w:tc>
          <w:tcPr>
            <w:tcW w:w="2443" w:type="dxa"/>
          </w:tcPr>
          <w:p w14:paraId="2035B38B" w14:textId="6DA3949B" w:rsidR="001C589B" w:rsidRPr="006F17C0" w:rsidRDefault="001C589B" w:rsidP="00756690">
            <w:pPr>
              <w:pStyle w:val="TableText0"/>
            </w:pPr>
            <w:r w:rsidRPr="006F17C0">
              <w:t xml:space="preserve">Standard </w:t>
            </w:r>
            <w:r w:rsidR="0048259A">
              <w:t>o</w:t>
            </w:r>
            <w:r w:rsidRPr="006F17C0">
              <w:t xml:space="preserve">perating </w:t>
            </w:r>
            <w:r w:rsidR="0048259A">
              <w:t>p</w:t>
            </w:r>
            <w:r w:rsidR="00EB2612" w:rsidRPr="006F17C0">
              <w:t>rocedure</w:t>
            </w:r>
            <w:r w:rsidR="00AA203B" w:rsidRPr="006F17C0">
              <w:t xml:space="preserve"> (SOP)</w:t>
            </w:r>
          </w:p>
        </w:tc>
        <w:tc>
          <w:tcPr>
            <w:tcW w:w="6570" w:type="dxa"/>
          </w:tcPr>
          <w:p w14:paraId="4735AD8B" w14:textId="3788FFB6" w:rsidR="001C589B" w:rsidRPr="00ED6012" w:rsidRDefault="00AA203B" w:rsidP="00756690">
            <w:pPr>
              <w:pStyle w:val="TableText0"/>
            </w:pPr>
            <w:r>
              <w:t>A procedure that details the warnings, resources</w:t>
            </w:r>
            <w:r w:rsidR="0048259A">
              <w:t>,</w:t>
            </w:r>
            <w:r>
              <w:t xml:space="preserve"> and actions or tasks necessary to undertake the procedure by a person with the relevant training and experience</w:t>
            </w:r>
            <w:r w:rsidR="0048259A">
              <w:t>.</w:t>
            </w:r>
          </w:p>
        </w:tc>
      </w:tr>
      <w:tr w:rsidR="001D1DE0" w:rsidRPr="00BE0504" w14:paraId="6133502B" w14:textId="77777777" w:rsidTr="00565679">
        <w:trPr>
          <w:cantSplit/>
          <w:trHeight w:val="383"/>
        </w:trPr>
        <w:tc>
          <w:tcPr>
            <w:tcW w:w="2443" w:type="dxa"/>
          </w:tcPr>
          <w:p w14:paraId="30FE6D82" w14:textId="77777777" w:rsidR="001D1DE0" w:rsidRPr="006F17C0" w:rsidRDefault="001D1DE0" w:rsidP="00756690">
            <w:pPr>
              <w:pStyle w:val="TableText0"/>
            </w:pPr>
            <w:r w:rsidRPr="006F17C0">
              <w:t xml:space="preserve">Sensitivity </w:t>
            </w:r>
          </w:p>
        </w:tc>
        <w:tc>
          <w:tcPr>
            <w:tcW w:w="6570" w:type="dxa"/>
          </w:tcPr>
          <w:p w14:paraId="2BBBDDA8" w14:textId="7FB4F94A" w:rsidR="001D1DE0" w:rsidRPr="00FB0327" w:rsidRDefault="001D1DE0" w:rsidP="0048259A">
            <w:pPr>
              <w:pStyle w:val="TableText0"/>
            </w:pPr>
            <w:r w:rsidRPr="00FB0327">
              <w:t xml:space="preserve">The proportion of truly positive units that are correctly identified as positive by a test. </w:t>
            </w:r>
          </w:p>
        </w:tc>
      </w:tr>
      <w:tr w:rsidR="001D1DE0" w:rsidRPr="00BE0504" w14:paraId="289243C5" w14:textId="77777777" w:rsidTr="00565679">
        <w:trPr>
          <w:cantSplit/>
          <w:trHeight w:val="259"/>
        </w:trPr>
        <w:tc>
          <w:tcPr>
            <w:tcW w:w="2443" w:type="dxa"/>
          </w:tcPr>
          <w:p w14:paraId="08976F2C" w14:textId="77777777" w:rsidR="001D1DE0" w:rsidRPr="006F17C0" w:rsidRDefault="001D1DE0" w:rsidP="00756690">
            <w:pPr>
              <w:pStyle w:val="TableText0"/>
            </w:pPr>
            <w:r w:rsidRPr="006F17C0">
              <w:t xml:space="preserve">Sentinel animal </w:t>
            </w:r>
          </w:p>
        </w:tc>
        <w:tc>
          <w:tcPr>
            <w:tcW w:w="6570" w:type="dxa"/>
          </w:tcPr>
          <w:p w14:paraId="34908D87" w14:textId="77777777" w:rsidR="001D1DE0" w:rsidRPr="00FB0327" w:rsidRDefault="001D1DE0" w:rsidP="00756690">
            <w:pPr>
              <w:pStyle w:val="TableText0"/>
            </w:pPr>
            <w:r w:rsidRPr="00FB0327">
              <w:t xml:space="preserve">Animal of known health status that is monitored to detect the presence of a specific disease agent. </w:t>
            </w:r>
          </w:p>
        </w:tc>
      </w:tr>
      <w:tr w:rsidR="001E0825" w:rsidRPr="00BE0504" w14:paraId="51911777" w14:textId="77777777" w:rsidTr="00565679">
        <w:trPr>
          <w:cantSplit/>
          <w:trHeight w:val="383"/>
        </w:trPr>
        <w:tc>
          <w:tcPr>
            <w:tcW w:w="2443" w:type="dxa"/>
          </w:tcPr>
          <w:p w14:paraId="287D92B5" w14:textId="29702370" w:rsidR="001E0825" w:rsidRPr="006F17C0" w:rsidRDefault="001E0825" w:rsidP="00756690">
            <w:pPr>
              <w:pStyle w:val="TableText0"/>
            </w:pPr>
            <w:r w:rsidRPr="006F17C0">
              <w:t>Social amenity</w:t>
            </w:r>
          </w:p>
        </w:tc>
        <w:tc>
          <w:tcPr>
            <w:tcW w:w="6570" w:type="dxa"/>
          </w:tcPr>
          <w:p w14:paraId="7471ECA9" w14:textId="1FEE4152" w:rsidR="001E0825" w:rsidRPr="00ED6012" w:rsidRDefault="00F02962" w:rsidP="00756690">
            <w:pPr>
              <w:pStyle w:val="TableText0"/>
            </w:pPr>
            <w:r>
              <w:t>A</w:t>
            </w:r>
            <w:r w:rsidR="001E0825" w:rsidRPr="00ED6012">
              <w:t>ny tangible or intangible resources developed or provided by humans or nature</w:t>
            </w:r>
            <w:r w:rsidR="0048259A">
              <w:t>,</w:t>
            </w:r>
            <w:r w:rsidR="001E0825" w:rsidRPr="00ED6012">
              <w:t xml:space="preserve"> such as dwellings and parks, or views and outlooks.</w:t>
            </w:r>
          </w:p>
        </w:tc>
      </w:tr>
      <w:tr w:rsidR="001D1DE0" w:rsidRPr="00BE0504" w14:paraId="0DD8805A" w14:textId="77777777" w:rsidTr="00565679">
        <w:trPr>
          <w:cantSplit/>
          <w:trHeight w:val="383"/>
        </w:trPr>
        <w:tc>
          <w:tcPr>
            <w:tcW w:w="2443" w:type="dxa"/>
          </w:tcPr>
          <w:p w14:paraId="61B7FE32" w14:textId="77777777" w:rsidR="001D1DE0" w:rsidRPr="006F17C0" w:rsidRDefault="001D1DE0" w:rsidP="00756690">
            <w:pPr>
              <w:pStyle w:val="TableText0"/>
            </w:pPr>
            <w:r w:rsidRPr="006F17C0">
              <w:t xml:space="preserve">Stamping out </w:t>
            </w:r>
          </w:p>
        </w:tc>
        <w:tc>
          <w:tcPr>
            <w:tcW w:w="6570" w:type="dxa"/>
          </w:tcPr>
          <w:p w14:paraId="6A9FC1BE" w14:textId="2F29AE1A" w:rsidR="001D1DE0" w:rsidRPr="00ED6012" w:rsidRDefault="0048259A" w:rsidP="00756690">
            <w:pPr>
              <w:pStyle w:val="TableText0"/>
            </w:pPr>
            <w:r w:rsidRPr="00776FD2">
              <w:t>The strategy of eliminating infection from premises through the destruction of animals in accordance with the particular AUSVETPLAN manual, and in a manner that permits appropriate disposal of carcasses and decontamination of the site.</w:t>
            </w:r>
            <w:r w:rsidR="001D1DE0" w:rsidRPr="00ED6012">
              <w:t xml:space="preserve"> </w:t>
            </w:r>
          </w:p>
        </w:tc>
      </w:tr>
      <w:tr w:rsidR="001D1DE0" w:rsidRPr="00BE0504" w14:paraId="1787FF87" w14:textId="77777777" w:rsidTr="00565679">
        <w:trPr>
          <w:cantSplit/>
          <w:trHeight w:val="383"/>
        </w:trPr>
        <w:tc>
          <w:tcPr>
            <w:tcW w:w="2443" w:type="dxa"/>
          </w:tcPr>
          <w:p w14:paraId="45C0A681" w14:textId="6D08E22D" w:rsidR="001D1DE0" w:rsidRPr="006F17C0" w:rsidRDefault="001D1DE0" w:rsidP="0048259A">
            <w:pPr>
              <w:pStyle w:val="TableText0"/>
            </w:pPr>
            <w:r w:rsidRPr="006F17C0">
              <w:t xml:space="preserve">State </w:t>
            </w:r>
            <w:r w:rsidR="00ED6012" w:rsidRPr="006F17C0">
              <w:t>C</w:t>
            </w:r>
            <w:r w:rsidRPr="006F17C0">
              <w:t>o</w:t>
            </w:r>
            <w:r w:rsidR="00ED6012" w:rsidRPr="006F17C0">
              <w:t>ordination</w:t>
            </w:r>
            <w:r w:rsidRPr="006F17C0">
              <w:t xml:space="preserve"> </w:t>
            </w:r>
            <w:r w:rsidR="006F17C0" w:rsidRPr="006F17C0">
              <w:t>Centre</w:t>
            </w:r>
            <w:r w:rsidRPr="006F17C0">
              <w:t xml:space="preserve"> </w:t>
            </w:r>
            <w:r w:rsidR="00ED6012" w:rsidRPr="006F17C0">
              <w:t>(SCC)</w:t>
            </w:r>
          </w:p>
        </w:tc>
        <w:tc>
          <w:tcPr>
            <w:tcW w:w="6570" w:type="dxa"/>
          </w:tcPr>
          <w:p w14:paraId="0AC08A58" w14:textId="08D9C42C" w:rsidR="001D1DE0" w:rsidRPr="00FB0327" w:rsidRDefault="001D1DE0" w:rsidP="0048259A">
            <w:pPr>
              <w:pStyle w:val="TableText0"/>
            </w:pPr>
            <w:r w:rsidRPr="00FB0327">
              <w:t xml:space="preserve">The emergency operations centre that directs the disease control operations to be undertaken in </w:t>
            </w:r>
            <w:r w:rsidR="0048259A">
              <w:t>a</w:t>
            </w:r>
            <w:r w:rsidR="0048259A" w:rsidRPr="00FB0327">
              <w:t xml:space="preserve"> </w:t>
            </w:r>
            <w:r w:rsidRPr="00FB0327">
              <w:t xml:space="preserve">state or territory. </w:t>
            </w:r>
          </w:p>
        </w:tc>
      </w:tr>
      <w:tr w:rsidR="001D1DE0" w:rsidRPr="00BE0504" w14:paraId="607FA6CE" w14:textId="77777777" w:rsidTr="00565679">
        <w:trPr>
          <w:cantSplit/>
          <w:trHeight w:val="632"/>
        </w:trPr>
        <w:tc>
          <w:tcPr>
            <w:tcW w:w="2443" w:type="dxa"/>
          </w:tcPr>
          <w:p w14:paraId="5762A24D" w14:textId="77777777" w:rsidR="001D1DE0" w:rsidRPr="006F17C0" w:rsidRDefault="001D1DE0" w:rsidP="00756690">
            <w:pPr>
              <w:pStyle w:val="TableText0"/>
            </w:pPr>
            <w:r w:rsidRPr="006F17C0">
              <w:t xml:space="preserve">Surveillance </w:t>
            </w:r>
          </w:p>
        </w:tc>
        <w:tc>
          <w:tcPr>
            <w:tcW w:w="6570" w:type="dxa"/>
          </w:tcPr>
          <w:p w14:paraId="7DF95004" w14:textId="3904D118" w:rsidR="001E0825" w:rsidRPr="00ED6012" w:rsidRDefault="0048259A" w:rsidP="00756690">
            <w:pPr>
              <w:pStyle w:val="TableText0"/>
            </w:pPr>
            <w:r w:rsidRPr="00524625">
              <w:t>A systematic program of investigation designed to establish the presence, extent or absence of a disease, or of infection or contamination with the causative organism. It includes the examination of animals for clinical signs, antibodies or the causative organism.</w:t>
            </w:r>
            <w:r>
              <w:t xml:space="preserve"> </w:t>
            </w:r>
          </w:p>
        </w:tc>
      </w:tr>
      <w:tr w:rsidR="001D1DE0" w:rsidRPr="00BE0504" w14:paraId="1BA14E12" w14:textId="77777777" w:rsidTr="00565679">
        <w:trPr>
          <w:cantSplit/>
          <w:trHeight w:val="440"/>
        </w:trPr>
        <w:tc>
          <w:tcPr>
            <w:tcW w:w="2443" w:type="dxa"/>
          </w:tcPr>
          <w:p w14:paraId="1C2F28B2" w14:textId="77777777" w:rsidR="001D1DE0" w:rsidRPr="006F17C0" w:rsidRDefault="001D1DE0" w:rsidP="00756690">
            <w:pPr>
              <w:pStyle w:val="TableText0"/>
            </w:pPr>
            <w:r w:rsidRPr="006F17C0">
              <w:t xml:space="preserve">Susceptible animals </w:t>
            </w:r>
          </w:p>
        </w:tc>
        <w:tc>
          <w:tcPr>
            <w:tcW w:w="6570" w:type="dxa"/>
          </w:tcPr>
          <w:p w14:paraId="5838F1CE" w14:textId="08D650A7" w:rsidR="001D1DE0" w:rsidRPr="00ED6012" w:rsidRDefault="001D1DE0" w:rsidP="00756690">
            <w:pPr>
              <w:pStyle w:val="TableText0"/>
              <w:rPr>
                <w:color w:val="7030A0"/>
              </w:rPr>
            </w:pPr>
            <w:r w:rsidRPr="00FB0327">
              <w:t>Animals that can be infected with a particular disease</w:t>
            </w:r>
            <w:r w:rsidR="0048259A">
              <w:rPr>
                <w:color w:val="7030A0"/>
              </w:rPr>
              <w:t>.</w:t>
            </w:r>
          </w:p>
        </w:tc>
      </w:tr>
      <w:tr w:rsidR="001D1DE0" w:rsidRPr="00BE0504" w14:paraId="63741B6B" w14:textId="77777777" w:rsidTr="00565679">
        <w:trPr>
          <w:cantSplit/>
          <w:trHeight w:val="134"/>
        </w:trPr>
        <w:tc>
          <w:tcPr>
            <w:tcW w:w="2443" w:type="dxa"/>
          </w:tcPr>
          <w:p w14:paraId="2BFCFCBC" w14:textId="77777777" w:rsidR="001D1DE0" w:rsidRPr="006F17C0" w:rsidRDefault="001D1DE0" w:rsidP="00756690">
            <w:pPr>
              <w:pStyle w:val="TableText0"/>
            </w:pPr>
            <w:r w:rsidRPr="006F17C0">
              <w:t xml:space="preserve">Suspect animal </w:t>
            </w:r>
          </w:p>
        </w:tc>
        <w:tc>
          <w:tcPr>
            <w:tcW w:w="6570" w:type="dxa"/>
          </w:tcPr>
          <w:p w14:paraId="2378918A" w14:textId="045EB671" w:rsidR="001D1DE0" w:rsidRPr="00ED6012" w:rsidRDefault="001D1DE0" w:rsidP="00756690">
            <w:pPr>
              <w:pStyle w:val="TableText0"/>
            </w:pPr>
            <w:r w:rsidRPr="00ED6012">
              <w:t>An animal that may have been exposed to an emergency disease such that its quarantine and intensive surveillance, but not pre-emptive slaughter, is warranted</w:t>
            </w:r>
            <w:r w:rsidR="000D660C" w:rsidRPr="00ED6012">
              <w:t>,</w:t>
            </w:r>
            <w:r w:rsidRPr="00ED6012">
              <w:t xml:space="preserve"> or </w:t>
            </w:r>
            <w:r w:rsidR="00231D4A">
              <w:t>a</w:t>
            </w:r>
            <w:r w:rsidRPr="00ED6012">
              <w:t xml:space="preserve">n animal not known to have been exposed to a disease agent but showing clinical signs requiring differential diagnosis. </w:t>
            </w:r>
          </w:p>
        </w:tc>
      </w:tr>
      <w:tr w:rsidR="001D1DE0" w:rsidRPr="00BE0504" w14:paraId="0168F753" w14:textId="77777777" w:rsidTr="00565679">
        <w:trPr>
          <w:cantSplit/>
          <w:trHeight w:val="134"/>
        </w:trPr>
        <w:tc>
          <w:tcPr>
            <w:tcW w:w="2443" w:type="dxa"/>
          </w:tcPr>
          <w:p w14:paraId="784CD23A" w14:textId="53CE7D51" w:rsidR="001D1DE0" w:rsidRPr="006F17C0" w:rsidRDefault="001D1DE0" w:rsidP="00756690">
            <w:pPr>
              <w:pStyle w:val="TableText0"/>
            </w:pPr>
            <w:r w:rsidRPr="006F17C0">
              <w:t xml:space="preserve">Suspect premises </w:t>
            </w:r>
            <w:r w:rsidR="009D0832">
              <w:t>(</w:t>
            </w:r>
            <w:r w:rsidR="00720B9C" w:rsidRPr="006F17C0">
              <w:t>SP</w:t>
            </w:r>
            <w:r w:rsidR="009D0832">
              <w:t>)</w:t>
            </w:r>
          </w:p>
        </w:tc>
        <w:tc>
          <w:tcPr>
            <w:tcW w:w="6570" w:type="dxa"/>
          </w:tcPr>
          <w:p w14:paraId="3629ECAA" w14:textId="68A6D6E8" w:rsidR="001D1DE0" w:rsidRPr="00ED6012" w:rsidRDefault="0048259A" w:rsidP="00756690">
            <w:pPr>
              <w:pStyle w:val="TableText0"/>
            </w:pPr>
            <w:r w:rsidRPr="006A0217">
              <w:t>Temporary</w:t>
            </w:r>
            <w:r w:rsidRPr="004F6257">
              <w:t xml:space="preserve"> classification of a premises that contains a susceptible animal(s) not known to have been exposed to the disease agent but showing clinical signs </w:t>
            </w:r>
            <w:r>
              <w:t xml:space="preserve">similar to the case definition, and that therefore </w:t>
            </w:r>
            <w:r w:rsidRPr="004F6257">
              <w:t>require</w:t>
            </w:r>
            <w:r>
              <w:t>s</w:t>
            </w:r>
            <w:r w:rsidRPr="004F6257">
              <w:t xml:space="preserve"> investigation(s)</w:t>
            </w:r>
            <w:r w:rsidRPr="008D730D">
              <w:t>.</w:t>
            </w:r>
          </w:p>
        </w:tc>
      </w:tr>
      <w:tr w:rsidR="001E0825" w:rsidRPr="00BE0504" w14:paraId="57137965" w14:textId="77777777" w:rsidTr="00565679">
        <w:trPr>
          <w:cantSplit/>
          <w:trHeight w:val="134"/>
        </w:trPr>
        <w:tc>
          <w:tcPr>
            <w:tcW w:w="2443" w:type="dxa"/>
          </w:tcPr>
          <w:p w14:paraId="0A2CE971" w14:textId="41F704B1" w:rsidR="001E0825" w:rsidRPr="006F17C0" w:rsidRDefault="001E0825" w:rsidP="00756690">
            <w:pPr>
              <w:pStyle w:val="TableText0"/>
            </w:pPr>
            <w:r w:rsidRPr="006F17C0">
              <w:t>Technical feasibility analysis or technically feasible</w:t>
            </w:r>
          </w:p>
        </w:tc>
        <w:tc>
          <w:tcPr>
            <w:tcW w:w="6570" w:type="dxa"/>
          </w:tcPr>
          <w:p w14:paraId="7804468D" w14:textId="12237104" w:rsidR="001E0825" w:rsidRPr="00ED6012" w:rsidRDefault="00F02962" w:rsidP="0048259A">
            <w:pPr>
              <w:pStyle w:val="TableText0"/>
            </w:pPr>
            <w:r>
              <w:t>A</w:t>
            </w:r>
            <w:r w:rsidR="001E0825" w:rsidRPr="00ED6012">
              <w:t xml:space="preserve">n analysis undertaken in accordance with </w:t>
            </w:r>
            <w:r w:rsidR="0048259A">
              <w:t>I</w:t>
            </w:r>
            <w:r w:rsidR="001E0825" w:rsidRPr="00ED6012">
              <w:t xml:space="preserve">tem 4 </w:t>
            </w:r>
            <w:r w:rsidR="0048259A">
              <w:t xml:space="preserve">of the </w:t>
            </w:r>
            <w:r w:rsidR="0048259A" w:rsidRPr="00EC0D05">
              <w:t>National Environmental Biosecurity Response Agreement</w:t>
            </w:r>
            <w:r w:rsidR="0048259A" w:rsidRPr="00ED6012">
              <w:t xml:space="preserve"> </w:t>
            </w:r>
            <w:r w:rsidR="001E0825" w:rsidRPr="00ED6012">
              <w:t>in relation to the feasibility of a national biosecurity incident response on the basis of conclusions reached by using scientific information to evaluate the proposed response.</w:t>
            </w:r>
          </w:p>
        </w:tc>
      </w:tr>
      <w:tr w:rsidR="001D1DE0" w:rsidRPr="00BE0504" w14:paraId="263F3334" w14:textId="77777777" w:rsidTr="00565679">
        <w:trPr>
          <w:cantSplit/>
          <w:trHeight w:val="134"/>
        </w:trPr>
        <w:tc>
          <w:tcPr>
            <w:tcW w:w="2443" w:type="dxa"/>
          </w:tcPr>
          <w:p w14:paraId="42294234" w14:textId="77777777" w:rsidR="001D1DE0" w:rsidRPr="006F17C0" w:rsidRDefault="001D1DE0" w:rsidP="00756690">
            <w:pPr>
              <w:pStyle w:val="TableText0"/>
            </w:pPr>
            <w:r w:rsidRPr="006F17C0">
              <w:t xml:space="preserve">Tracing </w:t>
            </w:r>
          </w:p>
        </w:tc>
        <w:tc>
          <w:tcPr>
            <w:tcW w:w="6570" w:type="dxa"/>
          </w:tcPr>
          <w:p w14:paraId="43DD9237" w14:textId="22902E7A" w:rsidR="001D1DE0" w:rsidRPr="00ED6012" w:rsidRDefault="001D1DE0" w:rsidP="0048259A">
            <w:pPr>
              <w:pStyle w:val="TableText0"/>
            </w:pPr>
            <w:r w:rsidRPr="00ED6012">
              <w:t xml:space="preserve">The process of locating animals, </w:t>
            </w:r>
            <w:r w:rsidR="0048259A">
              <w:t>people</w:t>
            </w:r>
            <w:r w:rsidR="0048259A" w:rsidRPr="00ED6012">
              <w:t xml:space="preserve"> </w:t>
            </w:r>
            <w:r w:rsidRPr="00ED6012">
              <w:t xml:space="preserve">or other items that may be implicated in the spread of disease, so that appropriate action can be taken. </w:t>
            </w:r>
          </w:p>
        </w:tc>
      </w:tr>
      <w:tr w:rsidR="001D1DE0" w:rsidRPr="00BE0504" w14:paraId="28601997" w14:textId="77777777" w:rsidTr="00565679">
        <w:trPr>
          <w:cantSplit/>
          <w:trHeight w:val="134"/>
        </w:trPr>
        <w:tc>
          <w:tcPr>
            <w:tcW w:w="2443" w:type="dxa"/>
          </w:tcPr>
          <w:p w14:paraId="1D13A3BF" w14:textId="7CDBA9BE" w:rsidR="001D1DE0" w:rsidRPr="00ED6012" w:rsidRDefault="001D1DE0" w:rsidP="00756690">
            <w:pPr>
              <w:pStyle w:val="TableText0"/>
            </w:pPr>
            <w:r w:rsidRPr="00ED6012">
              <w:t xml:space="preserve">Vaccination  </w:t>
            </w:r>
          </w:p>
        </w:tc>
        <w:tc>
          <w:tcPr>
            <w:tcW w:w="6570" w:type="dxa"/>
          </w:tcPr>
          <w:p w14:paraId="0E0D1EB7" w14:textId="02C71359" w:rsidR="001D1DE0" w:rsidRPr="00ED6012" w:rsidRDefault="0048259A" w:rsidP="00756690">
            <w:pPr>
              <w:pStyle w:val="TableText0"/>
            </w:pPr>
            <w:r>
              <w:t>Inoculation of individuals with a vaccine to provide active immunity.</w:t>
            </w:r>
          </w:p>
        </w:tc>
      </w:tr>
      <w:tr w:rsidR="001D1DE0" w:rsidRPr="00BE0504" w14:paraId="1CCFDE50" w14:textId="77777777" w:rsidTr="00565679">
        <w:trPr>
          <w:cantSplit/>
          <w:trHeight w:val="134"/>
        </w:trPr>
        <w:tc>
          <w:tcPr>
            <w:tcW w:w="2443" w:type="dxa"/>
          </w:tcPr>
          <w:p w14:paraId="047A7A98" w14:textId="1E229E5F" w:rsidR="001D1DE0" w:rsidRPr="00ED6012" w:rsidRDefault="001D1DE0" w:rsidP="00756690">
            <w:pPr>
              <w:pStyle w:val="TableText0"/>
            </w:pPr>
            <w:r w:rsidRPr="00ED6012">
              <w:t>Vaccine</w:t>
            </w:r>
          </w:p>
        </w:tc>
        <w:tc>
          <w:tcPr>
            <w:tcW w:w="6570" w:type="dxa"/>
          </w:tcPr>
          <w:p w14:paraId="32DB2965" w14:textId="354F7614" w:rsidR="001D1DE0" w:rsidRPr="00ED6012" w:rsidRDefault="0048259A" w:rsidP="00756690">
            <w:pPr>
              <w:pStyle w:val="TableText0"/>
            </w:pPr>
            <w:r w:rsidRPr="008526F4">
              <w:t>A substance used to stimulate immunity against one or several disease-causing agents to provide protection or to reduce the effects of the disease</w:t>
            </w:r>
            <w:r>
              <w:t>. A vaccine</w:t>
            </w:r>
            <w:r w:rsidRPr="008526F4">
              <w:t xml:space="preserve"> is prepared from the causative agent of a disease, its products or a synthetic substitute, </w:t>
            </w:r>
            <w:r>
              <w:t xml:space="preserve">which is </w:t>
            </w:r>
            <w:r w:rsidRPr="008526F4">
              <w:t>treated to act as an antigen without inducing the disease.</w:t>
            </w:r>
            <w:r w:rsidR="001D1DE0" w:rsidRPr="00ED6012">
              <w:t xml:space="preserve"> </w:t>
            </w:r>
          </w:p>
        </w:tc>
      </w:tr>
      <w:tr w:rsidR="001D1DE0" w:rsidRPr="00BE0504" w14:paraId="03B56AB1" w14:textId="77777777" w:rsidTr="00565679">
        <w:trPr>
          <w:cantSplit/>
          <w:trHeight w:val="134"/>
        </w:trPr>
        <w:tc>
          <w:tcPr>
            <w:tcW w:w="2443" w:type="dxa"/>
          </w:tcPr>
          <w:p w14:paraId="6D9055A3" w14:textId="77777777" w:rsidR="001D1DE0" w:rsidRPr="00ED6012" w:rsidRDefault="001D1DE0" w:rsidP="00756690">
            <w:pPr>
              <w:pStyle w:val="TableText0"/>
            </w:pPr>
            <w:r w:rsidRPr="00ED6012">
              <w:t xml:space="preserve">Vector </w:t>
            </w:r>
          </w:p>
        </w:tc>
        <w:tc>
          <w:tcPr>
            <w:tcW w:w="6570" w:type="dxa"/>
          </w:tcPr>
          <w:p w14:paraId="55323F5B" w14:textId="77777777" w:rsidR="001D1DE0" w:rsidRPr="00ED6012" w:rsidRDefault="001D1DE0" w:rsidP="00756690">
            <w:pPr>
              <w:pStyle w:val="TableText0"/>
            </w:pPr>
            <w:r w:rsidRPr="00ED6012">
              <w:t xml:space="preserve">A living organism (frequently an arthropod) that transmits an infectious agent from one host to another. A biological vector is one in which the infectious agent must develop or multiply before becoming infective to a recipient host. A mechanical vector is one that transmits an infectious agent from one host to another but is not essential to the life cycle of the agent. </w:t>
            </w:r>
          </w:p>
        </w:tc>
      </w:tr>
      <w:tr w:rsidR="007445A6" w:rsidRPr="00BE0504" w14:paraId="7699FE13" w14:textId="77777777" w:rsidTr="00565679">
        <w:trPr>
          <w:cantSplit/>
          <w:trHeight w:val="134"/>
        </w:trPr>
        <w:tc>
          <w:tcPr>
            <w:tcW w:w="2443" w:type="dxa"/>
          </w:tcPr>
          <w:p w14:paraId="26D9F394" w14:textId="50A14FE6" w:rsidR="007445A6" w:rsidRDefault="007445A6" w:rsidP="00756690">
            <w:pPr>
              <w:pStyle w:val="TableText0"/>
            </w:pPr>
            <w:r>
              <w:t>Wild animals</w:t>
            </w:r>
          </w:p>
          <w:p w14:paraId="0B14B5E3" w14:textId="0263CD9B" w:rsidR="007445A6" w:rsidRPr="007445A6" w:rsidRDefault="00DF3105" w:rsidP="00756690">
            <w:pPr>
              <w:pStyle w:val="TableText0"/>
            </w:pPr>
            <w:r>
              <w:t xml:space="preserve">– </w:t>
            </w:r>
            <w:r w:rsidR="007445A6" w:rsidRPr="007445A6">
              <w:t>native wildlife</w:t>
            </w:r>
            <w:r>
              <w:br/>
            </w:r>
          </w:p>
          <w:p w14:paraId="74D6BFEC" w14:textId="046F71F5" w:rsidR="007445A6" w:rsidRPr="007445A6" w:rsidRDefault="00DF3105" w:rsidP="00756690">
            <w:pPr>
              <w:pStyle w:val="TableText0"/>
            </w:pPr>
            <w:r>
              <w:t xml:space="preserve">– </w:t>
            </w:r>
            <w:r w:rsidR="007445A6" w:rsidRPr="007445A6">
              <w:t>feral animals</w:t>
            </w:r>
            <w:r>
              <w:br/>
            </w:r>
          </w:p>
          <w:p w14:paraId="01DB4E5D" w14:textId="31ADAB84" w:rsidR="007445A6" w:rsidRPr="007445A6" w:rsidRDefault="00DF3105" w:rsidP="00756690">
            <w:pPr>
              <w:pStyle w:val="TableText0"/>
            </w:pPr>
            <w:r>
              <w:t xml:space="preserve">– </w:t>
            </w:r>
            <w:r w:rsidR="007445A6">
              <w:t>exotic fauna</w:t>
            </w:r>
          </w:p>
        </w:tc>
        <w:tc>
          <w:tcPr>
            <w:tcW w:w="6570" w:type="dxa"/>
          </w:tcPr>
          <w:p w14:paraId="334A3B9A" w14:textId="77777777" w:rsidR="007445A6" w:rsidRDefault="007445A6" w:rsidP="00756690">
            <w:pPr>
              <w:pStyle w:val="TableText0"/>
            </w:pPr>
          </w:p>
          <w:p w14:paraId="08299455" w14:textId="046E85F2" w:rsidR="007445A6" w:rsidRDefault="007445A6" w:rsidP="00756690">
            <w:pPr>
              <w:pStyle w:val="TableText0"/>
            </w:pPr>
            <w:r w:rsidRPr="007445A6">
              <w:t>Animals that are indigenous to Australia and may be susceptible to emergency animal diseases (</w:t>
            </w:r>
            <w:r w:rsidR="00231D4A" w:rsidRPr="007445A6">
              <w:t>eg</w:t>
            </w:r>
            <w:r w:rsidR="00DF3105">
              <w:t> </w:t>
            </w:r>
            <w:r w:rsidRPr="007445A6">
              <w:t>bats, dingoes, marsupials).</w:t>
            </w:r>
          </w:p>
          <w:p w14:paraId="78390B26" w14:textId="3C84BAFE" w:rsidR="007445A6" w:rsidRDefault="00DF3105" w:rsidP="00756690">
            <w:pPr>
              <w:pStyle w:val="TableText0"/>
            </w:pPr>
            <w:r>
              <w:t>Animals of domestic species that are not confined or under control</w:t>
            </w:r>
            <w:r w:rsidR="007445A6" w:rsidRPr="007445A6">
              <w:t xml:space="preserve"> (</w:t>
            </w:r>
            <w:r w:rsidR="00231D4A" w:rsidRPr="007445A6">
              <w:t>eg</w:t>
            </w:r>
            <w:r>
              <w:t> </w:t>
            </w:r>
            <w:r w:rsidR="007445A6" w:rsidRPr="007445A6">
              <w:t>cats, horses, pigs).</w:t>
            </w:r>
          </w:p>
          <w:p w14:paraId="5559F1B1" w14:textId="3E546FAB" w:rsidR="007445A6" w:rsidRPr="00ED6012" w:rsidRDefault="007445A6" w:rsidP="00756690">
            <w:pPr>
              <w:pStyle w:val="TableText0"/>
            </w:pPr>
            <w:r w:rsidRPr="007445A6">
              <w:t>Nondomestic animal species that are not indigenous to Australia (</w:t>
            </w:r>
            <w:r w:rsidR="00231D4A" w:rsidRPr="007445A6">
              <w:t>eg</w:t>
            </w:r>
            <w:r w:rsidR="00DF3105">
              <w:t> </w:t>
            </w:r>
            <w:r w:rsidRPr="007445A6">
              <w:t>foxes).</w:t>
            </w:r>
          </w:p>
        </w:tc>
      </w:tr>
    </w:tbl>
    <w:p w14:paraId="3A38FF50" w14:textId="43599C96" w:rsidR="00520A2D" w:rsidRDefault="00520A2D" w:rsidP="006650D0">
      <w:pPr>
        <w:pStyle w:val="ListParagraph"/>
        <w:ind w:left="360"/>
        <w:jc w:val="both"/>
        <w:rPr>
          <w:b/>
          <w:szCs w:val="24"/>
        </w:rPr>
      </w:pPr>
    </w:p>
    <w:p w14:paraId="59C8E786" w14:textId="475AC637" w:rsidR="004D78C0" w:rsidRPr="0016749F" w:rsidRDefault="006650D0" w:rsidP="00A80AEB">
      <w:pPr>
        <w:pStyle w:val="Heading1"/>
      </w:pPr>
      <w:bookmarkStart w:id="137" w:name="_Toc529783805"/>
      <w:r w:rsidRPr="00D57FEF">
        <w:t>Abbreviations</w:t>
      </w:r>
      <w:bookmarkEnd w:id="137"/>
    </w:p>
    <w:tbl>
      <w:tblPr>
        <w:tblW w:w="927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3"/>
        <w:gridCol w:w="7458"/>
      </w:tblGrid>
      <w:tr w:rsidR="004D78C0" w:rsidRPr="00647A3A" w14:paraId="223D6E28" w14:textId="77777777" w:rsidTr="002B5325">
        <w:trPr>
          <w:trHeight w:val="134"/>
        </w:trPr>
        <w:tc>
          <w:tcPr>
            <w:tcW w:w="1813" w:type="dxa"/>
            <w:vAlign w:val="center"/>
          </w:tcPr>
          <w:p w14:paraId="45AD0FFB" w14:textId="77777777" w:rsidR="004D78C0" w:rsidRPr="00647A3A" w:rsidRDefault="004D78C0" w:rsidP="00756690">
            <w:pPr>
              <w:pStyle w:val="TableText0"/>
            </w:pPr>
            <w:r w:rsidRPr="00647A3A">
              <w:t xml:space="preserve">AAHL </w:t>
            </w:r>
          </w:p>
        </w:tc>
        <w:tc>
          <w:tcPr>
            <w:tcW w:w="7458" w:type="dxa"/>
            <w:vAlign w:val="center"/>
          </w:tcPr>
          <w:p w14:paraId="1B4ADE43" w14:textId="77777777" w:rsidR="004D78C0" w:rsidRPr="00647A3A" w:rsidRDefault="004D78C0" w:rsidP="00756690">
            <w:pPr>
              <w:pStyle w:val="TableText0"/>
            </w:pPr>
            <w:r w:rsidRPr="00647A3A">
              <w:t xml:space="preserve">Australian Animal Health Laboratory </w:t>
            </w:r>
          </w:p>
        </w:tc>
      </w:tr>
      <w:tr w:rsidR="00D9140E" w:rsidRPr="00647A3A" w14:paraId="038F3F42" w14:textId="77777777" w:rsidTr="002B5325">
        <w:trPr>
          <w:trHeight w:val="134"/>
        </w:trPr>
        <w:tc>
          <w:tcPr>
            <w:tcW w:w="1813" w:type="dxa"/>
            <w:vAlign w:val="center"/>
          </w:tcPr>
          <w:p w14:paraId="005151F4" w14:textId="76E0BD03" w:rsidR="00D9140E" w:rsidRPr="00647A3A" w:rsidRDefault="00D9140E" w:rsidP="00756690">
            <w:pPr>
              <w:pStyle w:val="TableText0"/>
            </w:pPr>
            <w:r w:rsidRPr="00647A3A">
              <w:t>AGSOC</w:t>
            </w:r>
          </w:p>
        </w:tc>
        <w:tc>
          <w:tcPr>
            <w:tcW w:w="7458" w:type="dxa"/>
            <w:vAlign w:val="center"/>
          </w:tcPr>
          <w:p w14:paraId="4AC1B024" w14:textId="26C01A0C" w:rsidR="00D9140E" w:rsidRPr="00647A3A" w:rsidRDefault="00D9140E" w:rsidP="00756690">
            <w:pPr>
              <w:pStyle w:val="TableText0"/>
            </w:pPr>
            <w:r w:rsidRPr="00647A3A">
              <w:t>Agriculture Senior Officials Committee</w:t>
            </w:r>
          </w:p>
        </w:tc>
      </w:tr>
      <w:tr w:rsidR="004D78C0" w:rsidRPr="00647A3A" w14:paraId="25B02CF9" w14:textId="77777777" w:rsidTr="002B5325">
        <w:trPr>
          <w:trHeight w:val="134"/>
        </w:trPr>
        <w:tc>
          <w:tcPr>
            <w:tcW w:w="1813" w:type="dxa"/>
            <w:vAlign w:val="center"/>
          </w:tcPr>
          <w:p w14:paraId="54EFFC3F" w14:textId="77777777" w:rsidR="004D78C0" w:rsidRPr="00647A3A" w:rsidRDefault="004D78C0" w:rsidP="00756690">
            <w:pPr>
              <w:pStyle w:val="TableText0"/>
            </w:pPr>
            <w:r w:rsidRPr="00647A3A">
              <w:t xml:space="preserve">AHC </w:t>
            </w:r>
          </w:p>
        </w:tc>
        <w:tc>
          <w:tcPr>
            <w:tcW w:w="7458" w:type="dxa"/>
            <w:vAlign w:val="center"/>
          </w:tcPr>
          <w:p w14:paraId="15ACEA96" w14:textId="77777777" w:rsidR="004D78C0" w:rsidRPr="00647A3A" w:rsidRDefault="004D78C0" w:rsidP="00756690">
            <w:pPr>
              <w:pStyle w:val="TableText0"/>
            </w:pPr>
            <w:r w:rsidRPr="00647A3A">
              <w:t xml:space="preserve">Animal Health Committee </w:t>
            </w:r>
          </w:p>
        </w:tc>
      </w:tr>
      <w:tr w:rsidR="00D9140E" w:rsidRPr="00647A3A" w14:paraId="6A91BA3B" w14:textId="77777777" w:rsidTr="002B5325">
        <w:trPr>
          <w:trHeight w:val="134"/>
        </w:trPr>
        <w:tc>
          <w:tcPr>
            <w:tcW w:w="1813" w:type="dxa"/>
            <w:vAlign w:val="center"/>
          </w:tcPr>
          <w:p w14:paraId="0459FB9B" w14:textId="77777777" w:rsidR="00D9140E" w:rsidRPr="00647A3A" w:rsidRDefault="00D9140E" w:rsidP="00756690">
            <w:pPr>
              <w:pStyle w:val="TableText0"/>
            </w:pPr>
            <w:r w:rsidRPr="00647A3A">
              <w:t xml:space="preserve">AUSVETPLAN </w:t>
            </w:r>
          </w:p>
        </w:tc>
        <w:tc>
          <w:tcPr>
            <w:tcW w:w="7458" w:type="dxa"/>
            <w:vAlign w:val="center"/>
          </w:tcPr>
          <w:p w14:paraId="0B161E36" w14:textId="77777777" w:rsidR="00D9140E" w:rsidRPr="00647A3A" w:rsidRDefault="00D9140E" w:rsidP="00756690">
            <w:pPr>
              <w:pStyle w:val="TableText0"/>
            </w:pPr>
            <w:r w:rsidRPr="00647A3A">
              <w:t xml:space="preserve">Australian Veterinary Emergency Plan </w:t>
            </w:r>
          </w:p>
        </w:tc>
      </w:tr>
      <w:tr w:rsidR="00D9140E" w:rsidRPr="00647A3A" w14:paraId="2FC7277A" w14:textId="77777777" w:rsidTr="002B5325">
        <w:trPr>
          <w:trHeight w:val="134"/>
        </w:trPr>
        <w:tc>
          <w:tcPr>
            <w:tcW w:w="1813" w:type="dxa"/>
            <w:vAlign w:val="center"/>
          </w:tcPr>
          <w:p w14:paraId="15A9B07B" w14:textId="4A07DD2D" w:rsidR="00D9140E" w:rsidRPr="00647A3A" w:rsidRDefault="00D9140E" w:rsidP="00756690">
            <w:pPr>
              <w:pStyle w:val="TableText0"/>
            </w:pPr>
            <w:r w:rsidRPr="00647A3A">
              <w:t>BIMS</w:t>
            </w:r>
          </w:p>
        </w:tc>
        <w:tc>
          <w:tcPr>
            <w:tcW w:w="7458" w:type="dxa"/>
            <w:vAlign w:val="center"/>
          </w:tcPr>
          <w:p w14:paraId="29E420B2" w14:textId="0D84EBDF" w:rsidR="00D9140E" w:rsidRPr="00647A3A" w:rsidRDefault="00D9140E" w:rsidP="00756690">
            <w:pPr>
              <w:pStyle w:val="TableText0"/>
            </w:pPr>
            <w:r w:rsidRPr="00647A3A">
              <w:t>Biosecurity Incident Management System</w:t>
            </w:r>
          </w:p>
        </w:tc>
      </w:tr>
      <w:tr w:rsidR="00647A3A" w:rsidRPr="00647A3A" w14:paraId="756A2F71" w14:textId="77777777" w:rsidTr="002B5325">
        <w:trPr>
          <w:trHeight w:val="259"/>
        </w:trPr>
        <w:tc>
          <w:tcPr>
            <w:tcW w:w="1813" w:type="dxa"/>
            <w:vAlign w:val="center"/>
          </w:tcPr>
          <w:p w14:paraId="6824B6B0" w14:textId="05AB0601" w:rsidR="00647A3A" w:rsidRPr="00647A3A" w:rsidRDefault="00647A3A" w:rsidP="00756690">
            <w:pPr>
              <w:pStyle w:val="TableText0"/>
            </w:pPr>
            <w:r w:rsidRPr="00647A3A">
              <w:t>CA</w:t>
            </w:r>
          </w:p>
        </w:tc>
        <w:tc>
          <w:tcPr>
            <w:tcW w:w="7458" w:type="dxa"/>
            <w:vAlign w:val="center"/>
          </w:tcPr>
          <w:p w14:paraId="638160C4" w14:textId="0D1202E6" w:rsidR="00647A3A" w:rsidRPr="00647A3A" w:rsidRDefault="00647A3A" w:rsidP="00756690">
            <w:pPr>
              <w:pStyle w:val="TableText0"/>
            </w:pPr>
            <w:r w:rsidRPr="00647A3A">
              <w:t>control area</w:t>
            </w:r>
          </w:p>
        </w:tc>
      </w:tr>
      <w:tr w:rsidR="00D9140E" w:rsidRPr="00647A3A" w14:paraId="5B0479D1" w14:textId="77777777" w:rsidTr="002B5325">
        <w:trPr>
          <w:trHeight w:val="259"/>
        </w:trPr>
        <w:tc>
          <w:tcPr>
            <w:tcW w:w="1813" w:type="dxa"/>
            <w:vAlign w:val="center"/>
          </w:tcPr>
          <w:p w14:paraId="2546CD5B" w14:textId="77777777" w:rsidR="00D9140E" w:rsidRPr="00647A3A" w:rsidRDefault="00D9140E" w:rsidP="00756690">
            <w:pPr>
              <w:pStyle w:val="TableText0"/>
            </w:pPr>
            <w:r w:rsidRPr="00647A3A">
              <w:t xml:space="preserve">CSIRO </w:t>
            </w:r>
          </w:p>
        </w:tc>
        <w:tc>
          <w:tcPr>
            <w:tcW w:w="7458" w:type="dxa"/>
            <w:vAlign w:val="center"/>
          </w:tcPr>
          <w:p w14:paraId="2840DA53" w14:textId="77777777" w:rsidR="00D9140E" w:rsidRPr="00647A3A" w:rsidRDefault="00D9140E" w:rsidP="00756690">
            <w:pPr>
              <w:pStyle w:val="TableText0"/>
            </w:pPr>
            <w:r w:rsidRPr="00647A3A">
              <w:t xml:space="preserve">Commonwealth Scientific and Industrial Research Organisation </w:t>
            </w:r>
          </w:p>
        </w:tc>
      </w:tr>
      <w:tr w:rsidR="00D9140E" w:rsidRPr="00647A3A" w14:paraId="58D701AE" w14:textId="77777777" w:rsidTr="002B5325">
        <w:trPr>
          <w:trHeight w:val="134"/>
        </w:trPr>
        <w:tc>
          <w:tcPr>
            <w:tcW w:w="1813" w:type="dxa"/>
            <w:vAlign w:val="center"/>
          </w:tcPr>
          <w:p w14:paraId="55C234B2" w14:textId="77777777" w:rsidR="00D9140E" w:rsidRPr="00647A3A" w:rsidRDefault="00D9140E" w:rsidP="00756690">
            <w:pPr>
              <w:pStyle w:val="TableText0"/>
            </w:pPr>
            <w:r w:rsidRPr="00647A3A">
              <w:t xml:space="preserve">CVO </w:t>
            </w:r>
          </w:p>
        </w:tc>
        <w:tc>
          <w:tcPr>
            <w:tcW w:w="7458" w:type="dxa"/>
            <w:vAlign w:val="center"/>
          </w:tcPr>
          <w:p w14:paraId="166C6E7A" w14:textId="18B6AE22" w:rsidR="00D9140E" w:rsidRPr="00647A3A" w:rsidRDefault="00647A3A" w:rsidP="00756690">
            <w:pPr>
              <w:pStyle w:val="TableText0"/>
            </w:pPr>
            <w:r w:rsidRPr="00647A3A">
              <w:t>c</w:t>
            </w:r>
            <w:r w:rsidR="00D9140E" w:rsidRPr="00647A3A">
              <w:t xml:space="preserve">hief </w:t>
            </w:r>
            <w:r w:rsidRPr="00647A3A">
              <w:t>v</w:t>
            </w:r>
            <w:r w:rsidR="00D9140E" w:rsidRPr="00647A3A">
              <w:t xml:space="preserve">eterinary </w:t>
            </w:r>
            <w:r w:rsidRPr="00647A3A">
              <w:t>o</w:t>
            </w:r>
            <w:r w:rsidR="00D9140E" w:rsidRPr="00647A3A">
              <w:t xml:space="preserve">fficer </w:t>
            </w:r>
          </w:p>
        </w:tc>
      </w:tr>
      <w:tr w:rsidR="00647A3A" w:rsidRPr="00647A3A" w14:paraId="57CDBBDA" w14:textId="77777777" w:rsidTr="002B5325">
        <w:trPr>
          <w:trHeight w:val="134"/>
        </w:trPr>
        <w:tc>
          <w:tcPr>
            <w:tcW w:w="1813" w:type="dxa"/>
            <w:vAlign w:val="center"/>
          </w:tcPr>
          <w:p w14:paraId="444DF20C" w14:textId="0AAC832C" w:rsidR="00647A3A" w:rsidRPr="00647A3A" w:rsidRDefault="00647A3A" w:rsidP="00756690">
            <w:pPr>
              <w:pStyle w:val="TableText0"/>
            </w:pPr>
            <w:r w:rsidRPr="00647A3A">
              <w:t>EAD</w:t>
            </w:r>
          </w:p>
        </w:tc>
        <w:tc>
          <w:tcPr>
            <w:tcW w:w="7458" w:type="dxa"/>
            <w:vAlign w:val="center"/>
          </w:tcPr>
          <w:p w14:paraId="7D4B9630" w14:textId="1730F4D2" w:rsidR="00647A3A" w:rsidRPr="00647A3A" w:rsidRDefault="00647A3A" w:rsidP="00756690">
            <w:pPr>
              <w:pStyle w:val="TableText0"/>
            </w:pPr>
            <w:r w:rsidRPr="00647A3A">
              <w:t>emergency animal disease</w:t>
            </w:r>
          </w:p>
        </w:tc>
      </w:tr>
      <w:tr w:rsidR="00647A3A" w:rsidRPr="00647A3A" w14:paraId="68012C31" w14:textId="77777777" w:rsidTr="002B5325">
        <w:trPr>
          <w:trHeight w:val="134"/>
        </w:trPr>
        <w:tc>
          <w:tcPr>
            <w:tcW w:w="1813" w:type="dxa"/>
            <w:vAlign w:val="center"/>
          </w:tcPr>
          <w:p w14:paraId="52589995" w14:textId="10095581" w:rsidR="00647A3A" w:rsidRPr="00647A3A" w:rsidRDefault="00647A3A" w:rsidP="00756690">
            <w:pPr>
              <w:pStyle w:val="TableText0"/>
            </w:pPr>
            <w:r w:rsidRPr="00647A3A">
              <w:t>EADRA</w:t>
            </w:r>
          </w:p>
        </w:tc>
        <w:tc>
          <w:tcPr>
            <w:tcW w:w="7458" w:type="dxa"/>
            <w:vAlign w:val="center"/>
          </w:tcPr>
          <w:p w14:paraId="2C08C884" w14:textId="20B0B537" w:rsidR="00647A3A" w:rsidRPr="00647A3A" w:rsidRDefault="00647A3A" w:rsidP="00756690">
            <w:pPr>
              <w:pStyle w:val="TableText0"/>
            </w:pPr>
            <w:r w:rsidRPr="00647A3A">
              <w:t>Emergency Animal Disease Response Agreement</w:t>
            </w:r>
          </w:p>
        </w:tc>
      </w:tr>
      <w:tr w:rsidR="00D9140E" w:rsidRPr="00647A3A" w14:paraId="096CDA13" w14:textId="77777777" w:rsidTr="002B5325">
        <w:trPr>
          <w:trHeight w:val="134"/>
        </w:trPr>
        <w:tc>
          <w:tcPr>
            <w:tcW w:w="1813" w:type="dxa"/>
            <w:vAlign w:val="center"/>
          </w:tcPr>
          <w:p w14:paraId="332B2AD7" w14:textId="5BD167AD" w:rsidR="00D9140E" w:rsidRPr="00647A3A" w:rsidRDefault="00D9140E" w:rsidP="00756690">
            <w:pPr>
              <w:pStyle w:val="TableText0"/>
            </w:pPr>
            <w:r w:rsidRPr="00647A3A">
              <w:t xml:space="preserve">EWD </w:t>
            </w:r>
          </w:p>
        </w:tc>
        <w:tc>
          <w:tcPr>
            <w:tcW w:w="7458" w:type="dxa"/>
            <w:vAlign w:val="center"/>
          </w:tcPr>
          <w:p w14:paraId="1A1742DD" w14:textId="38B3C990" w:rsidR="00D9140E" w:rsidRPr="00647A3A" w:rsidRDefault="00D9140E" w:rsidP="00756690">
            <w:pPr>
              <w:pStyle w:val="TableText0"/>
            </w:pPr>
            <w:r w:rsidRPr="00647A3A">
              <w:t>emergency wildlife disease</w:t>
            </w:r>
          </w:p>
        </w:tc>
      </w:tr>
      <w:tr w:rsidR="00D9140E" w:rsidRPr="00647A3A" w14:paraId="079D64B4" w14:textId="77777777" w:rsidTr="002B5325">
        <w:trPr>
          <w:trHeight w:val="134"/>
        </w:trPr>
        <w:tc>
          <w:tcPr>
            <w:tcW w:w="1813" w:type="dxa"/>
            <w:vAlign w:val="center"/>
          </w:tcPr>
          <w:p w14:paraId="5E355B6C" w14:textId="15D7E810" w:rsidR="00D9140E" w:rsidRPr="00647A3A" w:rsidRDefault="00D9140E" w:rsidP="00756690">
            <w:pPr>
              <w:pStyle w:val="TableText0"/>
            </w:pPr>
            <w:r w:rsidRPr="00647A3A">
              <w:t>IAP</w:t>
            </w:r>
          </w:p>
        </w:tc>
        <w:tc>
          <w:tcPr>
            <w:tcW w:w="7458" w:type="dxa"/>
            <w:vAlign w:val="center"/>
          </w:tcPr>
          <w:p w14:paraId="40012962" w14:textId="7F16BF2D" w:rsidR="00D9140E" w:rsidRPr="00647A3A" w:rsidRDefault="00D9140E" w:rsidP="00756690">
            <w:pPr>
              <w:pStyle w:val="TableText0"/>
            </w:pPr>
            <w:r w:rsidRPr="00647A3A">
              <w:t xml:space="preserve">Incident Action Plan </w:t>
            </w:r>
            <w:r w:rsidR="00647A3A" w:rsidRPr="00647A3A">
              <w:t>(</w:t>
            </w:r>
            <w:r w:rsidRPr="00647A3A">
              <w:t>produced at LCC level</w:t>
            </w:r>
            <w:r w:rsidR="00647A3A" w:rsidRPr="00647A3A">
              <w:t>)</w:t>
            </w:r>
          </w:p>
        </w:tc>
      </w:tr>
      <w:tr w:rsidR="00D9140E" w:rsidRPr="00647A3A" w14:paraId="0BB7A394" w14:textId="77777777" w:rsidTr="002B5325">
        <w:trPr>
          <w:trHeight w:val="134"/>
        </w:trPr>
        <w:tc>
          <w:tcPr>
            <w:tcW w:w="1813" w:type="dxa"/>
            <w:vAlign w:val="center"/>
          </w:tcPr>
          <w:p w14:paraId="5E2921A8" w14:textId="74C246F9" w:rsidR="00D9140E" w:rsidRPr="00647A3A" w:rsidRDefault="00D9140E" w:rsidP="00756690">
            <w:pPr>
              <w:pStyle w:val="TableText0"/>
            </w:pPr>
            <w:r w:rsidRPr="00647A3A">
              <w:t>ICS</w:t>
            </w:r>
          </w:p>
        </w:tc>
        <w:tc>
          <w:tcPr>
            <w:tcW w:w="7458" w:type="dxa"/>
            <w:vAlign w:val="center"/>
          </w:tcPr>
          <w:p w14:paraId="6AFD1FBE" w14:textId="3B46FA7B" w:rsidR="00D9140E" w:rsidRPr="00647A3A" w:rsidRDefault="00D9140E" w:rsidP="00756690">
            <w:pPr>
              <w:pStyle w:val="TableText0"/>
            </w:pPr>
            <w:r w:rsidRPr="00647A3A">
              <w:t>Incident Control System</w:t>
            </w:r>
          </w:p>
        </w:tc>
      </w:tr>
      <w:tr w:rsidR="00D9140E" w:rsidRPr="00647A3A" w14:paraId="20EAF173" w14:textId="77777777" w:rsidTr="002B5325">
        <w:trPr>
          <w:trHeight w:val="134"/>
        </w:trPr>
        <w:tc>
          <w:tcPr>
            <w:tcW w:w="1813" w:type="dxa"/>
            <w:vAlign w:val="center"/>
          </w:tcPr>
          <w:p w14:paraId="3C2D0789" w14:textId="511A30EF" w:rsidR="00D9140E" w:rsidRPr="00647A3A" w:rsidRDefault="00D9140E" w:rsidP="00756690">
            <w:pPr>
              <w:pStyle w:val="TableText0"/>
            </w:pPr>
            <w:r w:rsidRPr="00647A3A">
              <w:t xml:space="preserve">LCC </w:t>
            </w:r>
          </w:p>
        </w:tc>
        <w:tc>
          <w:tcPr>
            <w:tcW w:w="7458" w:type="dxa"/>
            <w:vAlign w:val="center"/>
          </w:tcPr>
          <w:p w14:paraId="2686EAD0" w14:textId="74D42B98" w:rsidR="00D9140E" w:rsidRPr="00647A3A" w:rsidRDefault="00D9140E" w:rsidP="00756690">
            <w:pPr>
              <w:pStyle w:val="TableText0"/>
            </w:pPr>
            <w:r w:rsidRPr="00647A3A">
              <w:t xml:space="preserve">Local Control Centre </w:t>
            </w:r>
          </w:p>
        </w:tc>
      </w:tr>
      <w:tr w:rsidR="002207E2" w:rsidRPr="00647A3A" w14:paraId="2EFC32ED" w14:textId="77777777" w:rsidTr="00C45947">
        <w:trPr>
          <w:trHeight w:val="134"/>
        </w:trPr>
        <w:tc>
          <w:tcPr>
            <w:tcW w:w="1813" w:type="dxa"/>
            <w:vAlign w:val="center"/>
          </w:tcPr>
          <w:p w14:paraId="04CE0C01" w14:textId="77777777" w:rsidR="002207E2" w:rsidRPr="00647A3A" w:rsidRDefault="002207E2" w:rsidP="00C45947">
            <w:pPr>
              <w:pStyle w:val="TableText0"/>
            </w:pPr>
            <w:r w:rsidRPr="00647A3A">
              <w:t>NBMCC</w:t>
            </w:r>
          </w:p>
        </w:tc>
        <w:tc>
          <w:tcPr>
            <w:tcW w:w="7458" w:type="dxa"/>
            <w:vAlign w:val="center"/>
          </w:tcPr>
          <w:p w14:paraId="6FAF311E" w14:textId="77777777" w:rsidR="002207E2" w:rsidRPr="00647A3A" w:rsidRDefault="002207E2" w:rsidP="00C45947">
            <w:pPr>
              <w:pStyle w:val="TableText0"/>
            </w:pPr>
            <w:r w:rsidRPr="00647A3A">
              <w:t>National Biosecurity Management Consultative Committee</w:t>
            </w:r>
          </w:p>
        </w:tc>
      </w:tr>
      <w:tr w:rsidR="00D9140E" w:rsidRPr="00647A3A" w14:paraId="668D840C" w14:textId="77777777" w:rsidTr="002B5325">
        <w:trPr>
          <w:trHeight w:val="134"/>
        </w:trPr>
        <w:tc>
          <w:tcPr>
            <w:tcW w:w="1813" w:type="dxa"/>
            <w:vAlign w:val="center"/>
          </w:tcPr>
          <w:p w14:paraId="42794BAC" w14:textId="7C8D4A0A" w:rsidR="00D9140E" w:rsidRPr="00647A3A" w:rsidRDefault="00D9140E" w:rsidP="00756690">
            <w:pPr>
              <w:pStyle w:val="TableText0"/>
            </w:pPr>
            <w:r w:rsidRPr="00647A3A">
              <w:t xml:space="preserve">NBMG </w:t>
            </w:r>
          </w:p>
        </w:tc>
        <w:tc>
          <w:tcPr>
            <w:tcW w:w="7458" w:type="dxa"/>
            <w:vAlign w:val="center"/>
          </w:tcPr>
          <w:p w14:paraId="4258DFC6" w14:textId="3F5EA1A3" w:rsidR="00D9140E" w:rsidRPr="00647A3A" w:rsidRDefault="00D9140E" w:rsidP="00756690">
            <w:pPr>
              <w:pStyle w:val="TableText0"/>
            </w:pPr>
            <w:r w:rsidRPr="00647A3A">
              <w:t xml:space="preserve">National Biosecurity Management Group </w:t>
            </w:r>
          </w:p>
        </w:tc>
      </w:tr>
      <w:tr w:rsidR="002B5A20" w:rsidRPr="00647A3A" w14:paraId="4D895FE7" w14:textId="77777777" w:rsidTr="002B5325">
        <w:trPr>
          <w:trHeight w:val="134"/>
        </w:trPr>
        <w:tc>
          <w:tcPr>
            <w:tcW w:w="1813" w:type="dxa"/>
            <w:vAlign w:val="center"/>
          </w:tcPr>
          <w:p w14:paraId="78C69D95" w14:textId="47EC32AC" w:rsidR="002B5A20" w:rsidRPr="00647A3A" w:rsidRDefault="002B5A20" w:rsidP="00756690">
            <w:pPr>
              <w:pStyle w:val="TableText0"/>
            </w:pPr>
            <w:r w:rsidRPr="00647A3A">
              <w:t>NEBRA</w:t>
            </w:r>
          </w:p>
        </w:tc>
        <w:tc>
          <w:tcPr>
            <w:tcW w:w="7458" w:type="dxa"/>
            <w:vAlign w:val="center"/>
          </w:tcPr>
          <w:p w14:paraId="76985888" w14:textId="4B60CD3F" w:rsidR="002B5A20" w:rsidRPr="00647A3A" w:rsidRDefault="002B5A20" w:rsidP="00756690">
            <w:pPr>
              <w:pStyle w:val="TableText0"/>
            </w:pPr>
            <w:r w:rsidRPr="00647A3A">
              <w:t>National Environmental Biosecurity Response Agreement</w:t>
            </w:r>
          </w:p>
        </w:tc>
      </w:tr>
      <w:tr w:rsidR="002B5A20" w:rsidRPr="00647A3A" w14:paraId="6CD0125F" w14:textId="77777777" w:rsidTr="002B5325">
        <w:trPr>
          <w:trHeight w:val="134"/>
        </w:trPr>
        <w:tc>
          <w:tcPr>
            <w:tcW w:w="1813" w:type="dxa"/>
            <w:vAlign w:val="center"/>
          </w:tcPr>
          <w:p w14:paraId="512CF0E3" w14:textId="7170DD7D" w:rsidR="002B5A20" w:rsidRPr="00647A3A" w:rsidRDefault="002B5A20" w:rsidP="00756690">
            <w:pPr>
              <w:pStyle w:val="TableText0"/>
            </w:pPr>
            <w:r w:rsidRPr="00647A3A">
              <w:t>NRP</w:t>
            </w:r>
          </w:p>
        </w:tc>
        <w:tc>
          <w:tcPr>
            <w:tcW w:w="7458" w:type="dxa"/>
            <w:vAlign w:val="center"/>
          </w:tcPr>
          <w:p w14:paraId="4422241C" w14:textId="07527C9E" w:rsidR="002B5A20" w:rsidRPr="00647A3A" w:rsidRDefault="002B5A20" w:rsidP="00550CCF">
            <w:pPr>
              <w:pStyle w:val="TableText0"/>
            </w:pPr>
            <w:r w:rsidRPr="00647A3A">
              <w:t xml:space="preserve">National Biosecurity Incident Response Plan </w:t>
            </w:r>
          </w:p>
        </w:tc>
      </w:tr>
      <w:tr w:rsidR="002B5A20" w:rsidRPr="00647A3A" w14:paraId="106212AD" w14:textId="77777777" w:rsidTr="002B5325">
        <w:trPr>
          <w:trHeight w:val="259"/>
        </w:trPr>
        <w:tc>
          <w:tcPr>
            <w:tcW w:w="1813" w:type="dxa"/>
            <w:vAlign w:val="center"/>
          </w:tcPr>
          <w:p w14:paraId="5E0FA762" w14:textId="77777777" w:rsidR="002B5A20" w:rsidRPr="00647A3A" w:rsidRDefault="002B5A20" w:rsidP="00756690">
            <w:pPr>
              <w:pStyle w:val="TableText0"/>
            </w:pPr>
            <w:r w:rsidRPr="00647A3A">
              <w:t xml:space="preserve">OIE </w:t>
            </w:r>
          </w:p>
        </w:tc>
        <w:tc>
          <w:tcPr>
            <w:tcW w:w="7458" w:type="dxa"/>
            <w:vAlign w:val="center"/>
          </w:tcPr>
          <w:p w14:paraId="19955171" w14:textId="09ADAFB0" w:rsidR="002B5A20" w:rsidRPr="00647A3A" w:rsidRDefault="002B5A20" w:rsidP="00647A3A">
            <w:pPr>
              <w:pStyle w:val="TableText0"/>
            </w:pPr>
            <w:r w:rsidRPr="00647A3A">
              <w:t>World Organi</w:t>
            </w:r>
            <w:r w:rsidR="000C6EEC" w:rsidRPr="00647A3A">
              <w:t>s</w:t>
            </w:r>
            <w:r w:rsidRPr="00647A3A">
              <w:t xml:space="preserve">ation for Animal Health </w:t>
            </w:r>
          </w:p>
        </w:tc>
      </w:tr>
      <w:tr w:rsidR="00647A3A" w:rsidRPr="00647A3A" w14:paraId="1EB89297" w14:textId="77777777" w:rsidTr="002B5325">
        <w:trPr>
          <w:trHeight w:val="259"/>
        </w:trPr>
        <w:tc>
          <w:tcPr>
            <w:tcW w:w="1813" w:type="dxa"/>
            <w:vAlign w:val="center"/>
          </w:tcPr>
          <w:p w14:paraId="46A1D4FD" w14:textId="29DC6E4B" w:rsidR="00647A3A" w:rsidRPr="00647A3A" w:rsidRDefault="00647A3A" w:rsidP="00756690">
            <w:pPr>
              <w:pStyle w:val="TableText0"/>
            </w:pPr>
            <w:r w:rsidRPr="00647A3A">
              <w:t>RA</w:t>
            </w:r>
          </w:p>
        </w:tc>
        <w:tc>
          <w:tcPr>
            <w:tcW w:w="7458" w:type="dxa"/>
            <w:vAlign w:val="center"/>
          </w:tcPr>
          <w:p w14:paraId="4974BE62" w14:textId="087FF902" w:rsidR="00647A3A" w:rsidRPr="00647A3A" w:rsidRDefault="00647A3A" w:rsidP="00756690">
            <w:pPr>
              <w:pStyle w:val="TableText0"/>
            </w:pPr>
            <w:r w:rsidRPr="00647A3A">
              <w:t>restricted area</w:t>
            </w:r>
          </w:p>
        </w:tc>
      </w:tr>
      <w:tr w:rsidR="002B5A20" w:rsidRPr="00647A3A" w14:paraId="037F4EC5" w14:textId="77777777" w:rsidTr="002B5325">
        <w:trPr>
          <w:trHeight w:val="259"/>
        </w:trPr>
        <w:tc>
          <w:tcPr>
            <w:tcW w:w="1813" w:type="dxa"/>
            <w:vAlign w:val="center"/>
          </w:tcPr>
          <w:p w14:paraId="440D316D" w14:textId="7AC6CBAE" w:rsidR="002B5A20" w:rsidRPr="00647A3A" w:rsidRDefault="002B5A20" w:rsidP="00756690">
            <w:pPr>
              <w:pStyle w:val="TableText0"/>
            </w:pPr>
            <w:r w:rsidRPr="00647A3A">
              <w:t>RSPCA</w:t>
            </w:r>
          </w:p>
        </w:tc>
        <w:tc>
          <w:tcPr>
            <w:tcW w:w="7458" w:type="dxa"/>
            <w:vAlign w:val="center"/>
          </w:tcPr>
          <w:p w14:paraId="492DF791" w14:textId="1FE69B04" w:rsidR="002B5A20" w:rsidRPr="00647A3A" w:rsidRDefault="002B5A20" w:rsidP="00756690">
            <w:pPr>
              <w:pStyle w:val="TableText0"/>
            </w:pPr>
            <w:r w:rsidRPr="00647A3A">
              <w:t xml:space="preserve">Royal Society for </w:t>
            </w:r>
            <w:r w:rsidR="00647A3A" w:rsidRPr="00647A3A">
              <w:t xml:space="preserve">the </w:t>
            </w:r>
            <w:r w:rsidRPr="00647A3A">
              <w:t>Pr</w:t>
            </w:r>
            <w:r w:rsidR="00B166E9" w:rsidRPr="00647A3A">
              <w:t>evention</w:t>
            </w:r>
            <w:r w:rsidRPr="00647A3A">
              <w:t xml:space="preserve"> of Cruelty to Animals</w:t>
            </w:r>
          </w:p>
        </w:tc>
      </w:tr>
      <w:tr w:rsidR="002B5A20" w:rsidRPr="00647A3A" w14:paraId="7B7EFB3D" w14:textId="77777777" w:rsidTr="002B5325">
        <w:trPr>
          <w:trHeight w:val="259"/>
        </w:trPr>
        <w:tc>
          <w:tcPr>
            <w:tcW w:w="1813" w:type="dxa"/>
            <w:vAlign w:val="center"/>
          </w:tcPr>
          <w:p w14:paraId="703D7725" w14:textId="138FC244" w:rsidR="002B5A20" w:rsidRPr="00647A3A" w:rsidRDefault="002B5A20" w:rsidP="00756690">
            <w:pPr>
              <w:pStyle w:val="TableText0"/>
            </w:pPr>
            <w:r w:rsidRPr="00647A3A">
              <w:t>SCC</w:t>
            </w:r>
          </w:p>
        </w:tc>
        <w:tc>
          <w:tcPr>
            <w:tcW w:w="7458" w:type="dxa"/>
            <w:vAlign w:val="center"/>
          </w:tcPr>
          <w:p w14:paraId="0110C5C0" w14:textId="62C34055" w:rsidR="002B5A20" w:rsidRPr="00647A3A" w:rsidRDefault="002B5A20" w:rsidP="00756690">
            <w:pPr>
              <w:pStyle w:val="TableText0"/>
            </w:pPr>
            <w:r w:rsidRPr="00647A3A">
              <w:t>State Coordination Centre</w:t>
            </w:r>
          </w:p>
        </w:tc>
      </w:tr>
      <w:tr w:rsidR="002B5A20" w:rsidRPr="00647A3A" w14:paraId="2037CE05" w14:textId="77777777" w:rsidTr="002B5325">
        <w:trPr>
          <w:trHeight w:val="259"/>
        </w:trPr>
        <w:tc>
          <w:tcPr>
            <w:tcW w:w="1813" w:type="dxa"/>
            <w:vAlign w:val="center"/>
          </w:tcPr>
          <w:p w14:paraId="79BB8C22" w14:textId="2D622224" w:rsidR="002B5A20" w:rsidRPr="00647A3A" w:rsidRDefault="002B5A20" w:rsidP="00756690">
            <w:pPr>
              <w:pStyle w:val="TableText0"/>
            </w:pPr>
            <w:r w:rsidRPr="00647A3A">
              <w:t>SOP</w:t>
            </w:r>
          </w:p>
        </w:tc>
        <w:tc>
          <w:tcPr>
            <w:tcW w:w="7458" w:type="dxa"/>
            <w:vAlign w:val="center"/>
          </w:tcPr>
          <w:p w14:paraId="2AFBFD79" w14:textId="653C70E0" w:rsidR="002B5A20" w:rsidRPr="00647A3A" w:rsidRDefault="00647A3A" w:rsidP="00756690">
            <w:pPr>
              <w:pStyle w:val="TableText0"/>
            </w:pPr>
            <w:r w:rsidRPr="00647A3A">
              <w:t>s</w:t>
            </w:r>
            <w:r w:rsidR="002B5A20" w:rsidRPr="00647A3A">
              <w:t xml:space="preserve">tandard </w:t>
            </w:r>
            <w:r w:rsidRPr="00647A3A">
              <w:t>o</w:t>
            </w:r>
            <w:r w:rsidR="002B5A20" w:rsidRPr="00647A3A">
              <w:t xml:space="preserve">perating </w:t>
            </w:r>
            <w:r w:rsidRPr="00647A3A">
              <w:t>p</w:t>
            </w:r>
            <w:r w:rsidR="002B5A20" w:rsidRPr="00647A3A">
              <w:t>rocedure</w:t>
            </w:r>
          </w:p>
        </w:tc>
      </w:tr>
      <w:tr w:rsidR="002B5A20" w:rsidRPr="00647A3A" w14:paraId="2B3AF11E" w14:textId="77777777" w:rsidTr="002B5325">
        <w:trPr>
          <w:trHeight w:val="206"/>
        </w:trPr>
        <w:tc>
          <w:tcPr>
            <w:tcW w:w="1813" w:type="dxa"/>
            <w:vAlign w:val="center"/>
          </w:tcPr>
          <w:p w14:paraId="71FDD92C" w14:textId="529BFF00" w:rsidR="002B5A20" w:rsidRPr="00647A3A" w:rsidRDefault="002B5A20" w:rsidP="00756690">
            <w:pPr>
              <w:pStyle w:val="TableText0"/>
            </w:pPr>
            <w:r w:rsidRPr="00647A3A">
              <w:t>WHA</w:t>
            </w:r>
          </w:p>
        </w:tc>
        <w:tc>
          <w:tcPr>
            <w:tcW w:w="7458" w:type="dxa"/>
            <w:vAlign w:val="center"/>
          </w:tcPr>
          <w:p w14:paraId="3281738F" w14:textId="6FE177BF" w:rsidR="002B5A20" w:rsidRPr="00647A3A" w:rsidRDefault="002B5A20" w:rsidP="00756690">
            <w:pPr>
              <w:pStyle w:val="TableText0"/>
            </w:pPr>
            <w:r w:rsidRPr="00647A3A">
              <w:t>Wildlife Health Australia</w:t>
            </w:r>
          </w:p>
        </w:tc>
      </w:tr>
      <w:tr w:rsidR="002B5A20" w:rsidRPr="00BE0504" w14:paraId="43D63141" w14:textId="77777777" w:rsidTr="002B5325">
        <w:trPr>
          <w:trHeight w:val="206"/>
        </w:trPr>
        <w:tc>
          <w:tcPr>
            <w:tcW w:w="1813" w:type="dxa"/>
            <w:vAlign w:val="center"/>
          </w:tcPr>
          <w:p w14:paraId="6753A6D0" w14:textId="5AC32C5F" w:rsidR="002B5A20" w:rsidRPr="00647A3A" w:rsidRDefault="002B5A20" w:rsidP="00647A3A">
            <w:pPr>
              <w:pStyle w:val="TableText0"/>
            </w:pPr>
            <w:r w:rsidRPr="00647A3A">
              <w:t>WHS</w:t>
            </w:r>
          </w:p>
        </w:tc>
        <w:tc>
          <w:tcPr>
            <w:tcW w:w="7458" w:type="dxa"/>
            <w:vAlign w:val="center"/>
          </w:tcPr>
          <w:p w14:paraId="0F33732D" w14:textId="51D14F19" w:rsidR="002B5A20" w:rsidRPr="00E42579" w:rsidRDefault="00647A3A" w:rsidP="00647A3A">
            <w:pPr>
              <w:pStyle w:val="TableText0"/>
            </w:pPr>
            <w:r w:rsidRPr="00647A3A">
              <w:t>w</w:t>
            </w:r>
            <w:r w:rsidR="002B5A20" w:rsidRPr="00647A3A">
              <w:t xml:space="preserve">ork </w:t>
            </w:r>
            <w:r w:rsidRPr="00647A3A">
              <w:t>h</w:t>
            </w:r>
            <w:r w:rsidR="002B5A20" w:rsidRPr="00647A3A">
              <w:t xml:space="preserve">ealth and </w:t>
            </w:r>
            <w:r w:rsidRPr="00647A3A">
              <w:t>s</w:t>
            </w:r>
            <w:r w:rsidR="002B5A20" w:rsidRPr="00647A3A">
              <w:t>afety</w:t>
            </w:r>
          </w:p>
        </w:tc>
      </w:tr>
    </w:tbl>
    <w:p w14:paraId="09A758A1" w14:textId="56FCA959" w:rsidR="009C4856" w:rsidRDefault="009C4856">
      <w:pPr>
        <w:rPr>
          <w:b/>
          <w:szCs w:val="24"/>
        </w:rPr>
      </w:pPr>
    </w:p>
    <w:p w14:paraId="7DF1A124" w14:textId="3B6B9DA7" w:rsidR="00780973" w:rsidRPr="0016749F" w:rsidRDefault="007445A6" w:rsidP="00A80AEB">
      <w:pPr>
        <w:pStyle w:val="Heading1"/>
      </w:pPr>
      <w:bookmarkStart w:id="138" w:name="_Toc529783806"/>
      <w:bookmarkStart w:id="139" w:name="_Hlk508725689"/>
      <w:r w:rsidRPr="004C472F">
        <w:t>Useful sources of information</w:t>
      </w:r>
      <w:bookmarkEnd w:id="138"/>
    </w:p>
    <w:bookmarkEnd w:id="139"/>
    <w:p w14:paraId="761B567B" w14:textId="33309759" w:rsidR="009C4856" w:rsidRPr="00577860" w:rsidRDefault="009C4856" w:rsidP="00756690">
      <w:pPr>
        <w:pStyle w:val="Heading2a"/>
      </w:pPr>
      <w:r w:rsidRPr="00577860">
        <w:t xml:space="preserve">Link to useful tools </w:t>
      </w:r>
    </w:p>
    <w:p w14:paraId="2337BB69" w14:textId="10DD1150" w:rsidR="009C4856" w:rsidRPr="00756690" w:rsidRDefault="00DB7859" w:rsidP="00756690">
      <w:hyperlink r:id="rId24" w:history="1">
        <w:r w:rsidR="00A23EDA" w:rsidRPr="00756690">
          <w:rPr>
            <w:rStyle w:val="Hyperlink"/>
          </w:rPr>
          <w:t>www.agriculture.gov.au/biosecurity/partnerships/nbc/nbepeg</w:t>
        </w:r>
      </w:hyperlink>
    </w:p>
    <w:p w14:paraId="3719F073" w14:textId="0BEDD9B8" w:rsidR="009C4856" w:rsidRPr="00ED6012" w:rsidRDefault="009C4856" w:rsidP="00756690">
      <w:pPr>
        <w:pStyle w:val="NormalBeforeBullet"/>
      </w:pPr>
      <w:r w:rsidRPr="00ED6012">
        <w:t>Resources found at this link include</w:t>
      </w:r>
      <w:r w:rsidR="00647A3A">
        <w:t>:</w:t>
      </w:r>
    </w:p>
    <w:p w14:paraId="39BFD4B8" w14:textId="541547CD" w:rsidR="00CD312C" w:rsidRPr="00707173" w:rsidRDefault="00CD312C" w:rsidP="00756690">
      <w:pPr>
        <w:pStyle w:val="Bullet"/>
        <w:rPr>
          <w:i/>
        </w:rPr>
      </w:pPr>
      <w:r w:rsidRPr="00707173">
        <w:rPr>
          <w:i/>
        </w:rPr>
        <w:t>Biosecurity</w:t>
      </w:r>
      <w:r w:rsidR="00707173" w:rsidRPr="00707173">
        <w:rPr>
          <w:i/>
        </w:rPr>
        <w:t xml:space="preserve"> emergency management – glossary</w:t>
      </w:r>
    </w:p>
    <w:p w14:paraId="0F506D64" w14:textId="4F7064F4" w:rsidR="00780973" w:rsidRPr="00707173" w:rsidRDefault="009C4856" w:rsidP="00756690">
      <w:pPr>
        <w:pStyle w:val="Bullet"/>
        <w:rPr>
          <w:i/>
        </w:rPr>
      </w:pPr>
      <w:r w:rsidRPr="00707173">
        <w:rPr>
          <w:i/>
        </w:rPr>
        <w:t xml:space="preserve">Biosecurity </w:t>
      </w:r>
      <w:r w:rsidR="00707173" w:rsidRPr="00707173">
        <w:rPr>
          <w:i/>
        </w:rPr>
        <w:t>emergency management</w:t>
      </w:r>
      <w:r w:rsidRPr="00707173">
        <w:rPr>
          <w:i/>
        </w:rPr>
        <w:t xml:space="preserve"> </w:t>
      </w:r>
      <w:r w:rsidR="00707173" w:rsidRPr="00707173">
        <w:rPr>
          <w:i/>
        </w:rPr>
        <w:t>– m</w:t>
      </w:r>
      <w:r w:rsidR="00CD312C" w:rsidRPr="00707173">
        <w:rPr>
          <w:i/>
        </w:rPr>
        <w:t>apping symbol</w:t>
      </w:r>
      <w:r w:rsidRPr="00707173">
        <w:rPr>
          <w:i/>
        </w:rPr>
        <w:t>ogy</w:t>
      </w:r>
      <w:r w:rsidR="0045268D" w:rsidRPr="00707173">
        <w:rPr>
          <w:i/>
        </w:rPr>
        <w:t xml:space="preserve"> </w:t>
      </w:r>
    </w:p>
    <w:p w14:paraId="1B8140F0" w14:textId="25DDCA8C" w:rsidR="00CD312C" w:rsidRPr="00707173" w:rsidRDefault="009C4856" w:rsidP="00756690">
      <w:pPr>
        <w:pStyle w:val="Bullet"/>
        <w:rPr>
          <w:i/>
        </w:rPr>
      </w:pPr>
      <w:r w:rsidRPr="00707173">
        <w:rPr>
          <w:i/>
        </w:rPr>
        <w:t xml:space="preserve">Biosecurity </w:t>
      </w:r>
      <w:r w:rsidR="00707173" w:rsidRPr="00707173">
        <w:rPr>
          <w:i/>
        </w:rPr>
        <w:t>emergency mana</w:t>
      </w:r>
      <w:r w:rsidRPr="00707173">
        <w:rPr>
          <w:i/>
        </w:rPr>
        <w:t xml:space="preserve">gement </w:t>
      </w:r>
      <w:r w:rsidR="00707173" w:rsidRPr="00707173">
        <w:rPr>
          <w:i/>
        </w:rPr>
        <w:t xml:space="preserve">– </w:t>
      </w:r>
      <w:r w:rsidR="00CD312C" w:rsidRPr="00707173">
        <w:rPr>
          <w:i/>
        </w:rPr>
        <w:t>B</w:t>
      </w:r>
      <w:r w:rsidRPr="00707173">
        <w:rPr>
          <w:i/>
        </w:rPr>
        <w:t>iosecurity Incident Management System</w:t>
      </w:r>
    </w:p>
    <w:p w14:paraId="48A50616" w14:textId="59341B2B" w:rsidR="00CD312C" w:rsidRPr="00707173" w:rsidRDefault="007360B8" w:rsidP="00230CCC">
      <w:pPr>
        <w:pStyle w:val="BulletLast"/>
        <w:rPr>
          <w:i/>
        </w:rPr>
      </w:pPr>
      <w:r w:rsidRPr="00707173">
        <w:rPr>
          <w:i/>
        </w:rPr>
        <w:t xml:space="preserve">Biosecurity </w:t>
      </w:r>
      <w:r w:rsidR="00707173" w:rsidRPr="00707173">
        <w:rPr>
          <w:i/>
        </w:rPr>
        <w:t>emergency management – response planning gui</w:t>
      </w:r>
      <w:r w:rsidR="00CD312C" w:rsidRPr="00707173">
        <w:rPr>
          <w:i/>
        </w:rPr>
        <w:t>de</w:t>
      </w:r>
      <w:r w:rsidR="00647A3A" w:rsidRPr="00707173">
        <w:rPr>
          <w:i/>
        </w:rPr>
        <w:t>.</w:t>
      </w:r>
    </w:p>
    <w:p w14:paraId="480F8F48" w14:textId="6A43C03A" w:rsidR="00BE0504" w:rsidRPr="00ED6012" w:rsidRDefault="00BE0504" w:rsidP="00756690">
      <w:pPr>
        <w:pStyle w:val="Heading2a"/>
      </w:pPr>
      <w:r w:rsidRPr="00ED6012">
        <w:t>Websites</w:t>
      </w:r>
    </w:p>
    <w:p w14:paraId="52401288" w14:textId="6B326B20" w:rsidR="00BE0504" w:rsidRPr="00ED6012" w:rsidRDefault="00BE0504" w:rsidP="00756690">
      <w:r w:rsidRPr="00ED6012">
        <w:t xml:space="preserve">Information on Australia’s wildlife health system can be found on the </w:t>
      </w:r>
      <w:r w:rsidR="00647A3A">
        <w:t>Wildlife Health Australia</w:t>
      </w:r>
      <w:r w:rsidR="00647A3A" w:rsidRPr="00ED6012">
        <w:t xml:space="preserve"> </w:t>
      </w:r>
      <w:r w:rsidRPr="00ED6012">
        <w:t>website</w:t>
      </w:r>
      <w:r w:rsidR="004F7B01">
        <w:t xml:space="preserve"> </w:t>
      </w:r>
      <w:r w:rsidR="00647A3A">
        <w:t>(</w:t>
      </w:r>
      <w:hyperlink r:id="rId25" w:history="1">
        <w:r w:rsidRPr="00D23248">
          <w:rPr>
            <w:rStyle w:val="Hyperlink"/>
          </w:rPr>
          <w:t>www.wildlifehealthaustralia.com.au</w:t>
        </w:r>
      </w:hyperlink>
      <w:r w:rsidR="00647A3A" w:rsidRPr="00707173">
        <w:t>)</w:t>
      </w:r>
      <w:r w:rsidRPr="00ED6012">
        <w:t>, which also contains up</w:t>
      </w:r>
      <w:r w:rsidR="00647A3A">
        <w:t>-</w:t>
      </w:r>
      <w:r w:rsidRPr="00ED6012">
        <w:t>to</w:t>
      </w:r>
      <w:r w:rsidR="00647A3A">
        <w:t>-</w:t>
      </w:r>
      <w:r w:rsidRPr="00ED6012">
        <w:t>date lists of resources available for those interested in wildlife health in Australia.</w:t>
      </w:r>
    </w:p>
    <w:p w14:paraId="7AC0B5F3" w14:textId="73CF0E9D" w:rsidR="00BE0504" w:rsidRPr="00ED6012" w:rsidRDefault="00BE0504" w:rsidP="00756690">
      <w:r w:rsidRPr="00ED6012">
        <w:t xml:space="preserve">AUSVETPLAN documents, </w:t>
      </w:r>
      <w:r w:rsidR="00732B17">
        <w:t>and</w:t>
      </w:r>
      <w:r w:rsidRPr="00ED6012">
        <w:t xml:space="preserve"> the </w:t>
      </w:r>
      <w:r w:rsidR="00647A3A">
        <w:t xml:space="preserve">Emergency Animal Disease Response </w:t>
      </w:r>
      <w:r w:rsidR="00707173">
        <w:t>A</w:t>
      </w:r>
      <w:r w:rsidR="00647A3A">
        <w:t>greement</w:t>
      </w:r>
      <w:r w:rsidRPr="00ED6012">
        <w:t xml:space="preserve">, are available at </w:t>
      </w:r>
      <w:hyperlink r:id="rId26" w:history="1">
        <w:r w:rsidRPr="00D23248">
          <w:rPr>
            <w:rStyle w:val="Hyperlink"/>
          </w:rPr>
          <w:t>www.animalhealthaustralia.com.au</w:t>
        </w:r>
      </w:hyperlink>
      <w:r w:rsidRPr="00707173">
        <w:t>.</w:t>
      </w:r>
    </w:p>
    <w:p w14:paraId="4E111A9F" w14:textId="75FB2CAB" w:rsidR="00BE0504" w:rsidRPr="00ED6012" w:rsidRDefault="00BE0504" w:rsidP="00756690">
      <w:r w:rsidRPr="00ED6012">
        <w:t xml:space="preserve">Information on management of animal health and animal health emergencies in Australia can be found in the </w:t>
      </w:r>
      <w:r w:rsidR="00647A3A">
        <w:t>Animal Health Australia</w:t>
      </w:r>
      <w:r w:rsidR="00647A3A" w:rsidRPr="00ED6012">
        <w:t xml:space="preserve"> </w:t>
      </w:r>
      <w:r w:rsidR="00647A3A">
        <w:t xml:space="preserve">annual </w:t>
      </w:r>
      <w:r w:rsidRPr="00ED6012">
        <w:t xml:space="preserve">report, at </w:t>
      </w:r>
      <w:r w:rsidR="00707173" w:rsidRPr="00707173">
        <w:t xml:space="preserve"> </w:t>
      </w:r>
      <w:hyperlink r:id="rId27" w:history="1">
        <w:r w:rsidR="00707173" w:rsidRPr="00E55FC0">
          <w:rPr>
            <w:rStyle w:val="Hyperlink"/>
            <w:iCs/>
          </w:rPr>
          <w:t>https://www.animalhealthaustralia.com.au/our-publications/corporate-publications/annual-reports</w:t>
        </w:r>
      </w:hyperlink>
      <w:r w:rsidRPr="00ED6012">
        <w:rPr>
          <w:color w:val="0070C0"/>
        </w:rPr>
        <w:t>.</w:t>
      </w:r>
      <w:r w:rsidR="00707173">
        <w:rPr>
          <w:color w:val="0070C0"/>
        </w:rPr>
        <w:t xml:space="preserve"> </w:t>
      </w:r>
    </w:p>
    <w:p w14:paraId="01371C9C" w14:textId="0F5E8F75" w:rsidR="00BE0504" w:rsidRPr="00ED6012" w:rsidRDefault="00FB6DC7" w:rsidP="00756690">
      <w:r>
        <w:t>Animal Health Australia</w:t>
      </w:r>
      <w:r w:rsidRPr="00ED6012">
        <w:t xml:space="preserve"> </w:t>
      </w:r>
      <w:r w:rsidR="00707173">
        <w:t>Emergency Animal Disease</w:t>
      </w:r>
      <w:r w:rsidR="00707173" w:rsidRPr="00ED6012">
        <w:t xml:space="preserve"> </w:t>
      </w:r>
      <w:r w:rsidR="00BE0504" w:rsidRPr="00ED6012">
        <w:t xml:space="preserve">Foundation </w:t>
      </w:r>
      <w:r w:rsidR="00707173">
        <w:t>o</w:t>
      </w:r>
      <w:r w:rsidR="00BE0504" w:rsidRPr="00ED6012">
        <w:t xml:space="preserve">nline </w:t>
      </w:r>
      <w:r w:rsidR="00707173">
        <w:t>t</w:t>
      </w:r>
      <w:r w:rsidR="00BE0504" w:rsidRPr="00ED6012">
        <w:t xml:space="preserve">raining Module </w:t>
      </w:r>
      <w:r>
        <w:t>(a</w:t>
      </w:r>
      <w:r w:rsidR="00BE0504" w:rsidRPr="00ED6012">
        <w:t xml:space="preserve"> generic introduction to EAD training</w:t>
      </w:r>
      <w:r>
        <w:t>)</w:t>
      </w:r>
      <w:r w:rsidR="00BE0504" w:rsidRPr="00ED6012">
        <w:t xml:space="preserve"> is available at</w:t>
      </w:r>
      <w:r w:rsidR="00707173">
        <w:t xml:space="preserve"> </w:t>
      </w:r>
      <w:hyperlink r:id="rId28" w:history="1">
        <w:r w:rsidR="00707173" w:rsidRPr="00E55FC0">
          <w:rPr>
            <w:rStyle w:val="Hyperlink"/>
          </w:rPr>
          <w:t>https://www.animalhealthaustralia.com.au/emergency-animal-disease-training-program</w:t>
        </w:r>
      </w:hyperlink>
      <w:r w:rsidR="00BE0504" w:rsidRPr="00ED6012">
        <w:rPr>
          <w:color w:val="0070C0"/>
        </w:rPr>
        <w:t>.</w:t>
      </w:r>
      <w:r w:rsidR="00707173">
        <w:rPr>
          <w:color w:val="0070C0"/>
        </w:rPr>
        <w:t xml:space="preserve"> </w:t>
      </w:r>
      <w:r w:rsidR="00BE0504" w:rsidRPr="00ED6012">
        <w:t xml:space="preserve"> </w:t>
      </w:r>
    </w:p>
    <w:p w14:paraId="57568329" w14:textId="2D323345" w:rsidR="00BE0504" w:rsidRPr="00ED6012" w:rsidRDefault="00BE0504" w:rsidP="00756690">
      <w:r w:rsidRPr="00ED6012">
        <w:t xml:space="preserve">The </w:t>
      </w:r>
      <w:r w:rsidRPr="00FB6DC7">
        <w:rPr>
          <w:i/>
        </w:rPr>
        <w:t xml:space="preserve">Australian </w:t>
      </w:r>
      <w:r w:rsidR="00FB6DC7" w:rsidRPr="00FB6DC7">
        <w:rPr>
          <w:i/>
        </w:rPr>
        <w:t>code for the care and use of animals for scientific purposes</w:t>
      </w:r>
      <w:r w:rsidRPr="00ED6012">
        <w:t xml:space="preserve"> is available at </w:t>
      </w:r>
      <w:hyperlink r:id="rId29" w:history="1">
        <w:r w:rsidRPr="00D23248">
          <w:rPr>
            <w:rStyle w:val="Hyperlink"/>
            <w:iCs/>
          </w:rPr>
          <w:t>www.nhmrc.gov.au</w:t>
        </w:r>
      </w:hyperlink>
      <w:r w:rsidRPr="00ED6012">
        <w:rPr>
          <w:color w:val="0070C0"/>
        </w:rPr>
        <w:t>.</w:t>
      </w:r>
    </w:p>
    <w:p w14:paraId="2CF2ACF6" w14:textId="3352D29C" w:rsidR="00BE0504" w:rsidRPr="00ED6012" w:rsidRDefault="00BE0504" w:rsidP="00756690">
      <w:r w:rsidRPr="00ED6012">
        <w:t xml:space="preserve">Information on biodiversity data, including photos, descriptions, maps and observations of Australian species, is available via the Atlas of Living Australia </w:t>
      </w:r>
      <w:r w:rsidR="00FB6DC7">
        <w:t>(</w:t>
      </w:r>
      <w:hyperlink r:id="rId30" w:history="1">
        <w:r w:rsidRPr="00D23248">
          <w:rPr>
            <w:rStyle w:val="Hyperlink"/>
            <w:iCs/>
          </w:rPr>
          <w:t>www.ala.org.au</w:t>
        </w:r>
      </w:hyperlink>
      <w:r w:rsidR="00FB6DC7" w:rsidRPr="00FB6DC7">
        <w:t>)</w:t>
      </w:r>
      <w:r w:rsidRPr="00FB6DC7">
        <w:t>.</w:t>
      </w:r>
    </w:p>
    <w:p w14:paraId="74E236E0" w14:textId="0A863A75" w:rsidR="00BE0504" w:rsidRPr="007F1AC5" w:rsidRDefault="00BE0504" w:rsidP="00756690">
      <w:r w:rsidRPr="002117C7">
        <w:t>Information about the species and ecological communities listed under the </w:t>
      </w:r>
      <w:r w:rsidRPr="002117C7">
        <w:rPr>
          <w:i/>
        </w:rPr>
        <w:t>Environment Protection and Biodiversity Conservation Act 1999</w:t>
      </w:r>
      <w:r w:rsidRPr="0070539C">
        <w:t xml:space="preserve"> is available on the </w:t>
      </w:r>
      <w:r w:rsidR="00FB6DC7">
        <w:t xml:space="preserve">Australian Government </w:t>
      </w:r>
      <w:r w:rsidRPr="0070539C">
        <w:t>D</w:t>
      </w:r>
      <w:r w:rsidR="00231D4A">
        <w:t xml:space="preserve">epartment of Environment and Energy </w:t>
      </w:r>
      <w:r w:rsidRPr="0070539C">
        <w:t xml:space="preserve">website </w:t>
      </w:r>
      <w:r w:rsidR="00FB6DC7">
        <w:t>(</w:t>
      </w:r>
      <w:hyperlink r:id="rId31" w:history="1">
        <w:r w:rsidR="00C34A8B" w:rsidRPr="00A20E3F">
          <w:rPr>
            <w:rStyle w:val="Hyperlink"/>
          </w:rPr>
          <w:t>www.environment.gov.au</w:t>
        </w:r>
      </w:hyperlink>
      <w:r w:rsidR="00FB6DC7">
        <w:rPr>
          <w:color w:val="000000" w:themeColor="text1"/>
        </w:rPr>
        <w:t>).</w:t>
      </w:r>
    </w:p>
    <w:p w14:paraId="0B065C62" w14:textId="16DA28B1" w:rsidR="00BE0504" w:rsidRPr="00C12EA4" w:rsidRDefault="00BE0504" w:rsidP="00756690">
      <w:pPr>
        <w:rPr>
          <w:rFonts w:ascii="Arial" w:hAnsi="Arial" w:cs="Arial"/>
          <w:sz w:val="20"/>
        </w:rPr>
      </w:pPr>
      <w:r w:rsidRPr="00D103D7">
        <w:t xml:space="preserve">Links to Australian </w:t>
      </w:r>
      <w:r w:rsidR="00FB6DC7">
        <w:t>G</w:t>
      </w:r>
      <w:r w:rsidRPr="00D103D7">
        <w:t xml:space="preserve">overnment websites relevant to free-ranging animals are listed on the </w:t>
      </w:r>
      <w:r w:rsidR="00FB6DC7">
        <w:t>Wildlife Health Australia</w:t>
      </w:r>
      <w:r w:rsidR="00FB6DC7" w:rsidRPr="00D103D7" w:rsidDel="00FB6DC7">
        <w:t xml:space="preserve"> </w:t>
      </w:r>
      <w:r w:rsidRPr="00D103D7">
        <w:t>website.</w:t>
      </w:r>
    </w:p>
    <w:p w14:paraId="55F2DCE8" w14:textId="53D34170" w:rsidR="009C4856" w:rsidRPr="00577860" w:rsidRDefault="009C4856" w:rsidP="00756690">
      <w:pPr>
        <w:pStyle w:val="Heading2a"/>
      </w:pPr>
      <w:r w:rsidRPr="004C472F">
        <w:t>Literature references</w:t>
      </w:r>
    </w:p>
    <w:p w14:paraId="2714B003" w14:textId="4F6F9511" w:rsidR="00C34A8B" w:rsidRPr="007B2505" w:rsidRDefault="00C34A8B" w:rsidP="00756690">
      <w:r w:rsidRPr="007B2505">
        <w:t>AHA</w:t>
      </w:r>
      <w:r w:rsidR="007B2505" w:rsidRPr="007B2505">
        <w:t xml:space="preserve"> (Animal Health Australia)</w:t>
      </w:r>
      <w:r w:rsidRPr="007B2505">
        <w:t xml:space="preserve"> (2016)</w:t>
      </w:r>
      <w:r w:rsidR="007B2505">
        <w:t>.</w:t>
      </w:r>
      <w:r w:rsidRPr="007B2505">
        <w:t xml:space="preserve"> </w:t>
      </w:r>
      <w:r w:rsidRPr="007B2505">
        <w:rPr>
          <w:i/>
        </w:rPr>
        <w:t xml:space="preserve">Guidance </w:t>
      </w:r>
      <w:r w:rsidR="007B2505" w:rsidRPr="007B2505">
        <w:rPr>
          <w:i/>
        </w:rPr>
        <w:t>d</w:t>
      </w:r>
      <w:r w:rsidRPr="007B2505">
        <w:rPr>
          <w:i/>
        </w:rPr>
        <w:t xml:space="preserve">ocument: </w:t>
      </w:r>
      <w:r w:rsidR="007B2505" w:rsidRPr="007B2505">
        <w:rPr>
          <w:i/>
        </w:rPr>
        <w:t>r</w:t>
      </w:r>
      <w:r w:rsidRPr="007B2505">
        <w:rPr>
          <w:i/>
        </w:rPr>
        <w:t>isk-based assessment of disease control options for rare and valuable animals</w:t>
      </w:r>
      <w:r w:rsidR="007B2505">
        <w:t xml:space="preserve">, </w:t>
      </w:r>
      <w:r w:rsidR="007B2505" w:rsidRPr="007B2505">
        <w:t>v</w:t>
      </w:r>
      <w:r w:rsidRPr="007B2505">
        <w:t>ersion 1.0</w:t>
      </w:r>
      <w:r w:rsidR="007B2505">
        <w:t>,</w:t>
      </w:r>
      <w:r w:rsidRPr="007B2505">
        <w:t xml:space="preserve"> Australian Veterinary Emergency Plan (AUSVETPLAN), </w:t>
      </w:r>
      <w:r w:rsidR="007B2505" w:rsidRPr="007B2505">
        <w:t>e</w:t>
      </w:r>
      <w:r w:rsidRPr="007B2505">
        <w:t>dition 4</w:t>
      </w:r>
      <w:r w:rsidR="007B2505" w:rsidRPr="007B2505">
        <w:t>,</w:t>
      </w:r>
      <w:r w:rsidRPr="007B2505">
        <w:t xml:space="preserve"> National Biosecurity Committee, Canberra. </w:t>
      </w:r>
    </w:p>
    <w:p w14:paraId="42C50921" w14:textId="435A80EF" w:rsidR="00FA77BE" w:rsidRPr="007B2505" w:rsidRDefault="00BE0504" w:rsidP="00756690">
      <w:r w:rsidRPr="007B2505">
        <w:t>Bunn C</w:t>
      </w:r>
      <w:r w:rsidR="00545B74" w:rsidRPr="007B2505">
        <w:t xml:space="preserve"> &amp;</w:t>
      </w:r>
      <w:r w:rsidRPr="007B2505">
        <w:t xml:space="preserve"> Woods R (2005)</w:t>
      </w:r>
      <w:r w:rsidR="00545B74" w:rsidRPr="007B2505">
        <w:t>.</w:t>
      </w:r>
      <w:r w:rsidRPr="007B2505">
        <w:t xml:space="preserve"> Emerging wildlife diseases</w:t>
      </w:r>
      <w:r w:rsidR="00545B74" w:rsidRPr="007B2505">
        <w:t xml:space="preserve">: </w:t>
      </w:r>
      <w:r w:rsidRPr="007B2505">
        <w:t xml:space="preserve">impact on trade, human health and the environment. </w:t>
      </w:r>
      <w:r w:rsidRPr="007B2505">
        <w:rPr>
          <w:i/>
        </w:rPr>
        <w:t>Microbiology Australia</w:t>
      </w:r>
      <w:r w:rsidRPr="007B2505">
        <w:t xml:space="preserve"> 26</w:t>
      </w:r>
      <w:r w:rsidR="00545B74" w:rsidRPr="007B2505">
        <w:t>:</w:t>
      </w:r>
      <w:r w:rsidRPr="007B2505">
        <w:t xml:space="preserve">53–55. </w:t>
      </w:r>
    </w:p>
    <w:p w14:paraId="0D6086AF" w14:textId="4E225CD4" w:rsidR="00BE0504" w:rsidRPr="00ED6012" w:rsidRDefault="00BE0504" w:rsidP="00756690">
      <w:r w:rsidRPr="007B2505">
        <w:t>Vogelnest L</w:t>
      </w:r>
      <w:r w:rsidR="00545B74" w:rsidRPr="007B2505">
        <w:t xml:space="preserve"> &amp;</w:t>
      </w:r>
      <w:r w:rsidRPr="007B2505">
        <w:t xml:space="preserve"> Woods R (</w:t>
      </w:r>
      <w:r w:rsidR="00545B74" w:rsidRPr="007B2505">
        <w:t>e</w:t>
      </w:r>
      <w:r w:rsidRPr="007B2505">
        <w:t>ds) (2008)</w:t>
      </w:r>
      <w:r w:rsidR="00545B74" w:rsidRPr="007B2505">
        <w:t>.</w:t>
      </w:r>
      <w:r w:rsidRPr="007B2505">
        <w:t> </w:t>
      </w:r>
      <w:r w:rsidRPr="007B2505">
        <w:rPr>
          <w:i/>
        </w:rPr>
        <w:t xml:space="preserve">Medicine of Australian </w:t>
      </w:r>
      <w:r w:rsidR="00545B74" w:rsidRPr="007B2505">
        <w:rPr>
          <w:i/>
        </w:rPr>
        <w:t>m</w:t>
      </w:r>
      <w:r w:rsidRPr="007B2505">
        <w:rPr>
          <w:i/>
        </w:rPr>
        <w:t>ammals</w:t>
      </w:r>
      <w:r w:rsidR="00545B74" w:rsidRPr="007B2505">
        <w:t>,</w:t>
      </w:r>
      <w:r w:rsidRPr="007B2505">
        <w:t xml:space="preserve"> CSIRO Publishing, Melbourne.</w:t>
      </w:r>
    </w:p>
    <w:sectPr w:rsidR="00BE0504" w:rsidRPr="00ED6012" w:rsidSect="00C45947">
      <w:footerReference w:type="even" r:id="rId32"/>
      <w:footerReference w:type="first" r:id="rId3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10288F" w14:textId="77777777" w:rsidR="00DB7859" w:rsidRDefault="00DB7859" w:rsidP="00181280">
      <w:pPr>
        <w:spacing w:after="0"/>
      </w:pPr>
      <w:r>
        <w:separator/>
      </w:r>
    </w:p>
  </w:endnote>
  <w:endnote w:type="continuationSeparator" w:id="0">
    <w:p w14:paraId="0FB1CB7F" w14:textId="77777777" w:rsidR="00DB7859" w:rsidRDefault="00DB7859" w:rsidP="0018128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Bold">
    <w:altName w:val="Times New Roman"/>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33522523"/>
      <w:docPartObj>
        <w:docPartGallery w:val="Page Numbers (Bottom of Page)"/>
        <w:docPartUnique/>
      </w:docPartObj>
    </w:sdtPr>
    <w:sdtEndPr>
      <w:rPr>
        <w:rStyle w:val="PageNumber"/>
      </w:rPr>
    </w:sdtEndPr>
    <w:sdtContent>
      <w:p w14:paraId="3B8BCA31" w14:textId="45BC3070" w:rsidR="00CD32FB" w:rsidRDefault="00CD32FB" w:rsidP="008868B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91</w:t>
        </w:r>
        <w:r>
          <w:rPr>
            <w:rStyle w:val="PageNumber"/>
          </w:rPr>
          <w:fldChar w:fldCharType="end"/>
        </w:r>
      </w:p>
    </w:sdtContent>
  </w:sdt>
  <w:p w14:paraId="6235C6FB" w14:textId="493502AD" w:rsidR="00CD32FB" w:rsidRPr="00C45947" w:rsidRDefault="00CD32FB" w:rsidP="008A2622">
    <w:pPr>
      <w:pStyle w:val="Footer"/>
      <w:ind w:right="440"/>
      <w:rPr>
        <w:i/>
      </w:rPr>
    </w:pPr>
    <w:r w:rsidRPr="00C45947">
      <w:rPr>
        <w:i/>
      </w:rPr>
      <w:t xml:space="preserve">Guidelines for management of an emergency </w:t>
    </w:r>
    <w:r>
      <w:rPr>
        <w:i/>
      </w:rPr>
      <w:t>wildlife</w:t>
    </w:r>
    <w:r w:rsidRPr="00C45947">
      <w:rPr>
        <w:i/>
      </w:rPr>
      <w:t xml:space="preserve"> disease response</w:t>
    </w:r>
    <w:r w:rsidRPr="00C45947">
      <w:rPr>
        <w:i/>
      </w:rPr>
      <w:tab/>
    </w:r>
    <w:r w:rsidRPr="00C45947">
      <w:rPr>
        <w:b/>
        <w:bCs/>
        <w:i/>
      </w:rPr>
      <w:t xml:space="preserve"> </w:t>
    </w:r>
  </w:p>
  <w:p w14:paraId="1B7D53E4" w14:textId="77777777" w:rsidR="00CD32FB" w:rsidRDefault="00CD32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1406B" w14:textId="77777777" w:rsidR="00CD32FB" w:rsidRPr="00C45947" w:rsidRDefault="00CD32FB" w:rsidP="00D73147">
    <w:pPr>
      <w:pStyle w:val="Footer"/>
      <w:ind w:right="360"/>
      <w:rPr>
        <w:i/>
      </w:rPr>
    </w:pPr>
    <w:r w:rsidRPr="00C45947">
      <w:rPr>
        <w:rStyle w:val="PageNumber"/>
      </w:rPr>
      <w:fldChar w:fldCharType="begin"/>
    </w:r>
    <w:r w:rsidRPr="00C45947">
      <w:rPr>
        <w:rStyle w:val="PageNumber"/>
      </w:rPr>
      <w:instrText xml:space="preserve"> PAGE   \* MERGEFORMAT </w:instrText>
    </w:r>
    <w:r w:rsidRPr="00C45947">
      <w:rPr>
        <w:rStyle w:val="PageNumber"/>
      </w:rPr>
      <w:fldChar w:fldCharType="separate"/>
    </w:r>
    <w:r>
      <w:rPr>
        <w:rStyle w:val="PageNumber"/>
        <w:noProof/>
      </w:rPr>
      <w:t>92</w:t>
    </w:r>
    <w:r w:rsidRPr="00C45947">
      <w:rPr>
        <w:rStyle w:val="PageNumber"/>
        <w:noProof/>
      </w:rPr>
      <w:fldChar w:fldCharType="end"/>
    </w:r>
    <w:r>
      <w:rPr>
        <w:i/>
      </w:rPr>
      <w:tab/>
    </w:r>
    <w:r w:rsidRPr="00C45947">
      <w:rPr>
        <w:i/>
      </w:rPr>
      <w:t>Guidelines for management of an emergency wildlife disease response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1DB49" w14:textId="40FA1E04" w:rsidR="00CD32FB" w:rsidRPr="004F0FC4" w:rsidRDefault="00CD32FB" w:rsidP="004F0FC4">
    <w:pPr>
      <w:pStyle w:val="Footer"/>
      <w:ind w:right="440"/>
      <w:rPr>
        <w:b/>
      </w:rPr>
    </w:pPr>
    <w:r w:rsidRPr="00C45947">
      <w:rPr>
        <w:i/>
      </w:rPr>
      <w:t xml:space="preserve">Guidelines for management of an emergency </w:t>
    </w:r>
    <w:r>
      <w:rPr>
        <w:i/>
      </w:rPr>
      <w:t>wildlife</w:t>
    </w:r>
    <w:r w:rsidRPr="00C45947">
      <w:rPr>
        <w:i/>
      </w:rPr>
      <w:t xml:space="preserve"> disease response</w:t>
    </w:r>
    <w:r w:rsidRPr="00C45947">
      <w:rPr>
        <w:i/>
      </w:rPr>
      <w:tab/>
    </w:r>
    <w:r w:rsidRPr="004F0FC4">
      <w:rPr>
        <w:b/>
      </w:rPr>
      <w:fldChar w:fldCharType="begin"/>
    </w:r>
    <w:r w:rsidRPr="004F0FC4">
      <w:rPr>
        <w:b/>
      </w:rPr>
      <w:instrText xml:space="preserve"> PAGE   \* MERGEFORMAT </w:instrText>
    </w:r>
    <w:r w:rsidRPr="004F0FC4">
      <w:rPr>
        <w:b/>
      </w:rPr>
      <w:fldChar w:fldCharType="separate"/>
    </w:r>
    <w:r w:rsidRPr="004F0FC4">
      <w:rPr>
        <w:b/>
        <w:noProof/>
      </w:rPr>
      <w:t>1</w:t>
    </w:r>
    <w:r w:rsidRPr="004F0FC4">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54BAB5" w14:textId="77777777" w:rsidR="00DB7859" w:rsidRDefault="00DB7859" w:rsidP="00181280">
      <w:pPr>
        <w:spacing w:after="0"/>
      </w:pPr>
      <w:r>
        <w:separator/>
      </w:r>
    </w:p>
  </w:footnote>
  <w:footnote w:type="continuationSeparator" w:id="0">
    <w:p w14:paraId="27F8F49A" w14:textId="77777777" w:rsidR="00DB7859" w:rsidRDefault="00DB7859" w:rsidP="00181280">
      <w:pPr>
        <w:spacing w:after="0"/>
      </w:pPr>
      <w:r>
        <w:continuationSeparator/>
      </w:r>
    </w:p>
  </w:footnote>
  <w:footnote w:id="1">
    <w:p w14:paraId="3161B25D" w14:textId="185D8610" w:rsidR="00CD32FB" w:rsidRDefault="00CD32FB">
      <w:pPr>
        <w:pStyle w:val="FootnoteText"/>
      </w:pPr>
      <w:r>
        <w:rPr>
          <w:rStyle w:val="FootnoteReference"/>
        </w:rPr>
        <w:footnoteRef/>
      </w:r>
      <w:r>
        <w:t xml:space="preserve"> </w:t>
      </w:r>
      <w:r>
        <w:tab/>
      </w:r>
      <w:r w:rsidRPr="00737A60">
        <w:t>https://www.animalhealthaustralia.com.au/our-publications/ausvetplan-manuals-and-documents/</w:t>
      </w:r>
    </w:p>
  </w:footnote>
  <w:footnote w:id="2">
    <w:p w14:paraId="451FE36C" w14:textId="0DD27581" w:rsidR="00CD32FB" w:rsidRDefault="00CD32FB">
      <w:pPr>
        <w:pStyle w:val="FootnoteText"/>
      </w:pPr>
      <w:r>
        <w:rPr>
          <w:rStyle w:val="FootnoteReference"/>
        </w:rPr>
        <w:footnoteRef/>
      </w:r>
      <w:r>
        <w:t xml:space="preserve"> </w:t>
      </w:r>
      <w:r>
        <w:tab/>
      </w:r>
      <w:r w:rsidRPr="00AF00AF">
        <w:t>https://wildlifehealthaustralia.com.au/Portals/0/Documents/ProgramProjects/</w:t>
      </w:r>
      <w:r>
        <w:br/>
      </w:r>
      <w:r w:rsidRPr="00AF00AF">
        <w:t>WNS%20response%20guidelines%20-%201.0%20-%20May%202017.pdf</w:t>
      </w:r>
    </w:p>
  </w:footnote>
  <w:footnote w:id="3">
    <w:p w14:paraId="39488E59" w14:textId="1B74EBC0" w:rsidR="00CD32FB" w:rsidRDefault="00CD32FB">
      <w:pPr>
        <w:pStyle w:val="FootnoteText"/>
      </w:pPr>
      <w:r>
        <w:rPr>
          <w:rStyle w:val="FootnoteReference"/>
        </w:rPr>
        <w:footnoteRef/>
      </w:r>
      <w:r>
        <w:t xml:space="preserve"> </w:t>
      </w:r>
      <w:r>
        <w:tab/>
      </w:r>
      <w:r w:rsidRPr="00E5540D">
        <w:t>www.animalhealthaustralia.com.au/our-publications/ausvetplan-manuals-and-documents</w:t>
      </w:r>
    </w:p>
  </w:footnote>
  <w:footnote w:id="4">
    <w:p w14:paraId="714A0BA9" w14:textId="6B121D5F" w:rsidR="00CD32FB" w:rsidRPr="00B56CD9" w:rsidRDefault="00CD32FB">
      <w:pPr>
        <w:pStyle w:val="FootnoteText"/>
        <w:rPr>
          <w:color w:val="auto"/>
        </w:rPr>
      </w:pPr>
      <w:r w:rsidRPr="00B56CD9">
        <w:rPr>
          <w:rStyle w:val="FootnoteReference"/>
          <w:color w:val="auto"/>
        </w:rPr>
        <w:footnoteRef/>
      </w:r>
      <w:r w:rsidRPr="00B56CD9">
        <w:rPr>
          <w:color w:val="auto"/>
        </w:rPr>
        <w:t xml:space="preserve"> </w:t>
      </w:r>
      <w:r>
        <w:rPr>
          <w:color w:val="auto"/>
        </w:rPr>
        <w:tab/>
      </w:r>
      <w:r w:rsidRPr="00862003">
        <w:rPr>
          <w:color w:val="auto"/>
        </w:rPr>
        <w:t>https://nhmrc.gov.au/about-us/publications/australian-code-care-and-use-animals-scientific-purposes</w:t>
      </w:r>
    </w:p>
  </w:footnote>
  <w:footnote w:id="5">
    <w:p w14:paraId="0D4EA677" w14:textId="54BDBD16" w:rsidR="00CD32FB" w:rsidRDefault="00CD32FB">
      <w:pPr>
        <w:pStyle w:val="FootnoteText"/>
      </w:pPr>
      <w:r>
        <w:rPr>
          <w:rStyle w:val="FootnoteReference"/>
        </w:rPr>
        <w:footnoteRef/>
      </w:r>
      <w:r>
        <w:t xml:space="preserve"> </w:t>
      </w:r>
      <w:r>
        <w:tab/>
      </w:r>
      <w:r w:rsidRPr="00E5540D">
        <w:t>www.animalhealthaustralia.com.au/our-publications/ausvetplan-manuals-and-documents</w:t>
      </w:r>
    </w:p>
  </w:footnote>
  <w:footnote w:id="6">
    <w:p w14:paraId="7531D28A" w14:textId="087714D6" w:rsidR="00CD32FB" w:rsidRDefault="00CD32FB">
      <w:pPr>
        <w:pStyle w:val="FootnoteText"/>
      </w:pPr>
      <w:r>
        <w:rPr>
          <w:rStyle w:val="FootnoteReference"/>
        </w:rPr>
        <w:footnoteRef/>
      </w:r>
      <w:r>
        <w:t xml:space="preserve"> </w:t>
      </w:r>
      <w:r>
        <w:tab/>
      </w:r>
      <w:r w:rsidRPr="00CD32FB">
        <w:rPr>
          <w:rStyle w:val="Hyperlink"/>
        </w:rPr>
        <w:t>www.wildlifehealthaustralia.com.au/Resources.aspx</w:t>
      </w:r>
      <w:r w:rsidRPr="00CD32FB" w:rsidDel="00926991">
        <w:rPr>
          <w:rStyle w:val="Hyperlink"/>
        </w:rPr>
        <w:t xml:space="preserve"> </w:t>
      </w:r>
    </w:p>
  </w:footnote>
  <w:footnote w:id="7">
    <w:p w14:paraId="549B6089" w14:textId="79A21F94" w:rsidR="00CD32FB" w:rsidRDefault="00CD32FB">
      <w:pPr>
        <w:pStyle w:val="FootnoteText"/>
      </w:pPr>
      <w:r>
        <w:rPr>
          <w:rStyle w:val="FootnoteReference"/>
        </w:rPr>
        <w:footnoteRef/>
      </w:r>
      <w:r>
        <w:t xml:space="preserve"> </w:t>
      </w:r>
      <w:r>
        <w:tab/>
      </w:r>
      <w:r w:rsidRPr="008200E0">
        <w:t>https://www.animalhealthaustralia.com.au/our-publications/ausvetplan-manuals-and-documents</w:t>
      </w:r>
    </w:p>
  </w:footnote>
  <w:footnote w:id="8">
    <w:p w14:paraId="6FB05FF3" w14:textId="287BEDF1" w:rsidR="00CD32FB" w:rsidRDefault="00CD32FB">
      <w:pPr>
        <w:pStyle w:val="FootnoteText"/>
      </w:pPr>
      <w:r>
        <w:rPr>
          <w:rStyle w:val="FootnoteReference"/>
        </w:rPr>
        <w:footnoteRef/>
      </w:r>
      <w:r>
        <w:t xml:space="preserve"> </w:t>
      </w:r>
      <w:r>
        <w:tab/>
      </w:r>
      <w:r w:rsidRPr="00F63787">
        <w:t>https://www.animalhealthaustralia.com.au/what-we-do/emergency-animal-disease/ead-response-agreement/</w:t>
      </w:r>
    </w:p>
  </w:footnote>
  <w:footnote w:id="9">
    <w:p w14:paraId="5FEBD424" w14:textId="38AD60C3" w:rsidR="00CD32FB" w:rsidRDefault="00CD32FB">
      <w:pPr>
        <w:pStyle w:val="FootnoteText"/>
      </w:pPr>
      <w:r>
        <w:rPr>
          <w:rStyle w:val="FootnoteReference"/>
        </w:rPr>
        <w:footnoteRef/>
      </w:r>
      <w:r>
        <w:t xml:space="preserve"> </w:t>
      </w:r>
      <w:r>
        <w:tab/>
      </w:r>
      <w:r w:rsidRPr="00B56CD9">
        <w:t>https://www.environment.gov.au/system/files/resources/387d3e66-3cdc-4676-8fed-759328277da4/files/chytrid-fungus-manual.pdf</w:t>
      </w:r>
    </w:p>
  </w:footnote>
  <w:footnote w:id="10">
    <w:p w14:paraId="0908AC86" w14:textId="58862A19" w:rsidR="00CD32FB" w:rsidRDefault="00CD32FB">
      <w:pPr>
        <w:pStyle w:val="FootnoteText"/>
      </w:pPr>
      <w:r>
        <w:rPr>
          <w:rStyle w:val="FootnoteReference"/>
        </w:rPr>
        <w:footnoteRef/>
      </w:r>
      <w:r>
        <w:t xml:space="preserve"> </w:t>
      </w:r>
      <w:r>
        <w:tab/>
      </w:r>
      <w:r w:rsidRPr="00B56CD9">
        <w:t>https://wildlifehealthaustralia.com.au/Portals/0/Documents/ProgramProjects/</w:t>
      </w:r>
      <w:r>
        <w:br/>
      </w:r>
      <w:r w:rsidRPr="00B56CD9">
        <w:t>WNS%20response%20guidelines%20-%201.0%20-%20May%202017.pdf</w:t>
      </w:r>
    </w:p>
  </w:footnote>
  <w:footnote w:id="11">
    <w:p w14:paraId="37CF3099" w14:textId="2E09DB86" w:rsidR="00CD32FB" w:rsidRDefault="00CD32FB">
      <w:pPr>
        <w:pStyle w:val="FootnoteText"/>
      </w:pPr>
      <w:r>
        <w:rPr>
          <w:rStyle w:val="FootnoteReference"/>
        </w:rPr>
        <w:footnoteRef/>
      </w:r>
      <w:r>
        <w:t xml:space="preserve"> </w:t>
      </w:r>
      <w:r>
        <w:tab/>
      </w:r>
      <w:r w:rsidRPr="00F63787">
        <w:t>https://www.wildlifehealthaustralia.com.au/WHADocuments.aspx</w:t>
      </w:r>
    </w:p>
  </w:footnote>
  <w:footnote w:id="12">
    <w:p w14:paraId="64799A23" w14:textId="5B66FEF4" w:rsidR="00CD32FB" w:rsidRPr="00AA43FC" w:rsidRDefault="00CD32FB">
      <w:pPr>
        <w:pStyle w:val="FootnoteText"/>
      </w:pPr>
      <w:r w:rsidRPr="00AA43FC">
        <w:rPr>
          <w:rStyle w:val="FootnoteReference"/>
        </w:rPr>
        <w:footnoteRef/>
      </w:r>
      <w:r w:rsidRPr="00AA43FC">
        <w:t xml:space="preserve"> </w:t>
      </w:r>
      <w:r>
        <w:tab/>
      </w:r>
      <w:r w:rsidRPr="00AA43FC">
        <w:t>www.animalhealthaustralia.com.au/our-publications/ausvetplan-manuals-and-documents/</w:t>
      </w:r>
    </w:p>
  </w:footnote>
  <w:footnote w:id="13">
    <w:p w14:paraId="01839939" w14:textId="5AE1BB04" w:rsidR="00CD32FB" w:rsidRDefault="00CD32FB">
      <w:pPr>
        <w:pStyle w:val="FootnoteText"/>
      </w:pPr>
      <w:r w:rsidRPr="00AA43FC">
        <w:rPr>
          <w:rStyle w:val="FootnoteReference"/>
        </w:rPr>
        <w:footnoteRef/>
      </w:r>
      <w:r w:rsidRPr="00AA43FC">
        <w:t xml:space="preserve"> </w:t>
      </w:r>
      <w:r>
        <w:tab/>
      </w:r>
      <w:r w:rsidRPr="00AA43FC">
        <w:t>www.agriculture.gov.au/biosecurity/partnerships/nbc/nbepeg/bims</w:t>
      </w:r>
    </w:p>
  </w:footnote>
  <w:footnote w:id="14">
    <w:p w14:paraId="4507140E" w14:textId="039DD0AB" w:rsidR="00CD32FB" w:rsidRPr="004C1809" w:rsidRDefault="00CD32FB">
      <w:pPr>
        <w:pStyle w:val="FootnoteText"/>
      </w:pPr>
      <w:r w:rsidRPr="004C1809">
        <w:rPr>
          <w:rStyle w:val="FootnoteReference"/>
        </w:rPr>
        <w:footnoteRef/>
      </w:r>
      <w:r w:rsidRPr="004C1809">
        <w:t xml:space="preserve"> </w:t>
      </w:r>
      <w:r>
        <w:tab/>
      </w:r>
      <w:r w:rsidRPr="004C1809">
        <w:t>www.agriculture.gov.au/biosecurity/partnerships/nbc/nbepeg/bims</w:t>
      </w:r>
    </w:p>
  </w:footnote>
  <w:footnote w:id="15">
    <w:p w14:paraId="4550F625" w14:textId="194FACBC" w:rsidR="00CD32FB" w:rsidRDefault="00CD32FB">
      <w:pPr>
        <w:pStyle w:val="FootnoteText"/>
      </w:pPr>
      <w:r w:rsidRPr="004C1809">
        <w:rPr>
          <w:rStyle w:val="FootnoteReference"/>
        </w:rPr>
        <w:footnoteRef/>
      </w:r>
      <w:r w:rsidRPr="004C1809">
        <w:t xml:space="preserve"> </w:t>
      </w:r>
      <w:r>
        <w:tab/>
      </w:r>
      <w:r w:rsidRPr="004C1809">
        <w:t>www.animalhealthaustralia.com.au/our-publications/ausvetplan-manuals-and-documents/</w:t>
      </w:r>
    </w:p>
  </w:footnote>
  <w:footnote w:id="16">
    <w:p w14:paraId="0094CAB3" w14:textId="3938B9EE" w:rsidR="00CD32FB" w:rsidRDefault="00CD32FB">
      <w:pPr>
        <w:pStyle w:val="FootnoteText"/>
      </w:pPr>
      <w:r>
        <w:rPr>
          <w:rStyle w:val="FootnoteReference"/>
        </w:rPr>
        <w:footnoteRef/>
      </w:r>
      <w:r>
        <w:t xml:space="preserve"> </w:t>
      </w:r>
      <w:r>
        <w:tab/>
      </w:r>
      <w:r w:rsidRPr="002207E2">
        <w:t>www.agriculture.gov.au/SiteCollectionDocuments/animal-plant/pihc/bepwg/biosecurity-emergency-managementresponse-planning-guide.pdf</w:t>
      </w:r>
    </w:p>
  </w:footnote>
  <w:footnote w:id="17">
    <w:p w14:paraId="71FAFCC6" w14:textId="49D35021" w:rsidR="00CD32FB" w:rsidRDefault="00CD32FB">
      <w:pPr>
        <w:pStyle w:val="FootnoteText"/>
      </w:pPr>
      <w:r>
        <w:rPr>
          <w:rStyle w:val="FootnoteReference"/>
        </w:rPr>
        <w:footnoteRef/>
      </w:r>
      <w:r>
        <w:t xml:space="preserve"> </w:t>
      </w:r>
      <w:r>
        <w:tab/>
        <w:t>h</w:t>
      </w:r>
      <w:r w:rsidRPr="00234A79">
        <w:t>ttps://www.oie.int/fileadmin/Home/eng/Our_scientific_expertise/docs/pdf/</w:t>
      </w:r>
      <w:r>
        <w:br/>
      </w:r>
      <w:r w:rsidRPr="00234A79">
        <w:t>A_Guidelines_for_Animal_Disease_Control_final.pdf</w:t>
      </w:r>
    </w:p>
  </w:footnote>
  <w:footnote w:id="18">
    <w:p w14:paraId="0758EF24" w14:textId="77777777" w:rsidR="00CD32FB" w:rsidRDefault="00CD32FB" w:rsidP="00D97D86">
      <w:pPr>
        <w:pStyle w:val="FootnoteText"/>
      </w:pPr>
      <w:r>
        <w:rPr>
          <w:rStyle w:val="FootnoteReference"/>
        </w:rPr>
        <w:footnoteRef/>
      </w:r>
      <w:r>
        <w:t xml:space="preserve"> </w:t>
      </w:r>
      <w:r>
        <w:tab/>
      </w:r>
      <w:r w:rsidRPr="002207E2">
        <w:t>www.agriculture.gov.au/SiteCollectionDocuments/animal-plant/pihc/bepwg/biosecurity-emergency-managementresponse-planning-guide.pdf</w:t>
      </w:r>
    </w:p>
  </w:footnote>
  <w:footnote w:id="19">
    <w:p w14:paraId="6ED5CDDE" w14:textId="20A276D3" w:rsidR="00CD32FB" w:rsidRDefault="00CD32FB">
      <w:pPr>
        <w:pStyle w:val="FootnoteText"/>
      </w:pPr>
      <w:r>
        <w:rPr>
          <w:rStyle w:val="FootnoteReference"/>
        </w:rPr>
        <w:footnoteRef/>
      </w:r>
      <w:r>
        <w:t xml:space="preserve"> </w:t>
      </w:r>
      <w:r>
        <w:tab/>
      </w:r>
      <w:r w:rsidRPr="00882CF7">
        <w:t>www.animalhealthaustralia.com.au/our-publications/ausvetplan-manuals-and-documents</w:t>
      </w:r>
    </w:p>
  </w:footnote>
  <w:footnote w:id="20">
    <w:p w14:paraId="5A913269" w14:textId="77777777" w:rsidR="00CD32FB" w:rsidRPr="00D10A1D" w:rsidRDefault="00CD32FB" w:rsidP="000266D1">
      <w:pPr>
        <w:pStyle w:val="FootnoteText"/>
        <w:rPr>
          <w:color w:val="auto"/>
        </w:rPr>
      </w:pPr>
      <w:r>
        <w:rPr>
          <w:rStyle w:val="FootnoteReference"/>
        </w:rPr>
        <w:footnoteRef/>
      </w:r>
      <w:r>
        <w:t xml:space="preserve"> </w:t>
      </w:r>
      <w:r w:rsidRPr="00D10A1D">
        <w:rPr>
          <w:color w:val="auto"/>
        </w:rPr>
        <w:t>www.animalhealthaustralia.com.au</w:t>
      </w:r>
    </w:p>
  </w:footnote>
  <w:footnote w:id="21">
    <w:p w14:paraId="68A2D896" w14:textId="13B53DEB" w:rsidR="00CD32FB" w:rsidRDefault="00CD32FB" w:rsidP="000266D1">
      <w:pPr>
        <w:pStyle w:val="FootnoteText"/>
      </w:pPr>
      <w:r>
        <w:rPr>
          <w:rStyle w:val="FootnoteReference"/>
        </w:rPr>
        <w:footnoteRef/>
      </w:r>
      <w:r>
        <w:t xml:space="preserve"> </w:t>
      </w:r>
      <w:r>
        <w:tab/>
      </w:r>
      <w:r w:rsidRPr="0036566C">
        <w:t>www.animalhealthaustralia.com.au/our-publications/ausvetplan-manuals-and-documents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6B870" w14:textId="7086CD0B" w:rsidR="00CD32FB" w:rsidRDefault="00CD32FB">
    <w:pPr>
      <w:pStyle w:val="Header"/>
    </w:pPr>
  </w:p>
  <w:p w14:paraId="5EA98C5C" w14:textId="558436A8" w:rsidR="00CD32FB" w:rsidRDefault="00CD32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804614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6971CA"/>
    <w:multiLevelType w:val="hybridMultilevel"/>
    <w:tmpl w:val="C2F02C9C"/>
    <w:lvl w:ilvl="0" w:tplc="44303C18">
      <w:start w:val="1"/>
      <w:numFmt w:val="bullet"/>
      <w:pStyle w:val="BoxDash"/>
      <w:lvlText w:val=""/>
      <w:lvlJc w:val="left"/>
      <w:pPr>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105138"/>
    <w:multiLevelType w:val="hybridMultilevel"/>
    <w:tmpl w:val="0E8C4BC4"/>
    <w:lvl w:ilvl="0" w:tplc="EC840366">
      <w:start w:val="1"/>
      <w:numFmt w:val="bullet"/>
      <w:pStyle w:val="Dash"/>
      <w:lvlText w:val="–"/>
      <w:lvlJc w:val="left"/>
      <w:pPr>
        <w:tabs>
          <w:tab w:val="num" w:pos="216"/>
        </w:tabs>
        <w:ind w:left="360" w:firstLine="0"/>
      </w:pPr>
      <w:rPr>
        <w:rFonts w:ascii="Times New Roman" w:hAnsi="Times New Roman" w:cs="Times New Roman" w:hint="default"/>
        <w:sz w:val="16"/>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79745C"/>
    <w:multiLevelType w:val="multilevel"/>
    <w:tmpl w:val="23B05DFC"/>
    <w:lvl w:ilvl="0">
      <w:start w:val="1"/>
      <w:numFmt w:val="decimal"/>
      <w:pStyle w:val="MELegal1"/>
      <w:lvlText w:val="%1."/>
      <w:lvlJc w:val="left"/>
      <w:pPr>
        <w:tabs>
          <w:tab w:val="num" w:pos="455"/>
        </w:tabs>
        <w:ind w:left="455" w:hanging="680"/>
      </w:pPr>
      <w:rPr>
        <w:rFonts w:cs="Times New Roman" w:hint="default"/>
      </w:rPr>
    </w:lvl>
    <w:lvl w:ilvl="1">
      <w:start w:val="1"/>
      <w:numFmt w:val="lowerLetter"/>
      <w:lvlText w:val="%2."/>
      <w:lvlJc w:val="left"/>
      <w:pPr>
        <w:tabs>
          <w:tab w:val="num" w:pos="680"/>
        </w:tabs>
        <w:ind w:left="680" w:hanging="680"/>
      </w:pPr>
      <w:rPr>
        <w:rFonts w:ascii="Arial" w:eastAsia="Times New Roman" w:hAnsi="Arial" w:cs="Arial" w:hint="default"/>
      </w:rPr>
    </w:lvl>
    <w:lvl w:ilvl="2">
      <w:start w:val="1"/>
      <w:numFmt w:val="lowerLetter"/>
      <w:pStyle w:val="MELegal3"/>
      <w:lvlText w:val="(%3)"/>
      <w:lvlJc w:val="left"/>
      <w:pPr>
        <w:tabs>
          <w:tab w:val="num" w:pos="680"/>
        </w:tabs>
        <w:ind w:left="1361" w:hanging="681"/>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3">
      <w:start w:val="1"/>
      <w:numFmt w:val="lowerRoman"/>
      <w:pStyle w:val="MELegal4"/>
      <w:lvlText w:val="(%4)"/>
      <w:lvlJc w:val="left"/>
      <w:pPr>
        <w:tabs>
          <w:tab w:val="num" w:pos="720"/>
        </w:tabs>
        <w:ind w:left="680" w:hanging="680"/>
      </w:pPr>
      <w:rPr>
        <w:rFonts w:cs="Times New Roman" w:hint="default"/>
      </w:rPr>
    </w:lvl>
    <w:lvl w:ilvl="4">
      <w:start w:val="1"/>
      <w:numFmt w:val="upperLetter"/>
      <w:pStyle w:val="MELegal5"/>
      <w:lvlText w:val="(%5)"/>
      <w:lvlJc w:val="left"/>
      <w:pPr>
        <w:tabs>
          <w:tab w:val="num" w:pos="2497"/>
        </w:tabs>
        <w:ind w:left="2497" w:hanging="681"/>
      </w:pPr>
      <w:rPr>
        <w:rFonts w:cs="Times New Roman" w:hint="default"/>
        <w:i w:val="0"/>
      </w:rPr>
    </w:lvl>
    <w:lvl w:ilvl="5">
      <w:start w:val="1"/>
      <w:numFmt w:val="upperRoman"/>
      <w:pStyle w:val="MELegal6"/>
      <w:lvlText w:val="(%6)"/>
      <w:lvlJc w:val="left"/>
      <w:pPr>
        <w:tabs>
          <w:tab w:val="num" w:pos="3217"/>
        </w:tabs>
        <w:ind w:left="3177" w:hanging="680"/>
      </w:pPr>
      <w:rPr>
        <w:rFonts w:cs="Times New Roman" w:hint="default"/>
      </w:rPr>
    </w:lvl>
    <w:lvl w:ilvl="6">
      <w:start w:val="1"/>
      <w:numFmt w:val="none"/>
      <w:lvlText w:val="%7"/>
      <w:lvlJc w:val="left"/>
      <w:pPr>
        <w:tabs>
          <w:tab w:val="num" w:pos="4878"/>
        </w:tabs>
        <w:ind w:left="4878" w:hanging="850"/>
      </w:pPr>
      <w:rPr>
        <w:rFonts w:cs="Times New Roman" w:hint="default"/>
      </w:rPr>
    </w:lvl>
    <w:lvl w:ilvl="7">
      <w:start w:val="1"/>
      <w:numFmt w:val="none"/>
      <w:suff w:val="nothing"/>
      <w:lvlText w:val="%8"/>
      <w:lvlJc w:val="left"/>
      <w:pPr>
        <w:ind w:left="-225" w:firstLine="0"/>
      </w:pPr>
      <w:rPr>
        <w:rFonts w:cs="Times New Roman" w:hint="default"/>
      </w:rPr>
    </w:lvl>
    <w:lvl w:ilvl="8">
      <w:start w:val="1"/>
      <w:numFmt w:val="none"/>
      <w:suff w:val="nothing"/>
      <w:lvlText w:val="%9"/>
      <w:lvlJc w:val="left"/>
      <w:pPr>
        <w:ind w:left="-225" w:firstLine="0"/>
      </w:pPr>
      <w:rPr>
        <w:rFonts w:cs="Times New Roman" w:hint="default"/>
      </w:rPr>
    </w:lvl>
  </w:abstractNum>
  <w:abstractNum w:abstractNumId="4" w15:restartNumberingAfterBreak="0">
    <w:nsid w:val="16BB4224"/>
    <w:multiLevelType w:val="hybridMultilevel"/>
    <w:tmpl w:val="9A809E82"/>
    <w:lvl w:ilvl="0" w:tplc="288E36DA">
      <w:start w:val="1"/>
      <w:numFmt w:val="bullet"/>
      <w:pStyle w:val="BoxBullet"/>
      <w:lvlText w:val=""/>
      <w:lvlJc w:val="left"/>
      <w:pPr>
        <w:tabs>
          <w:tab w:val="num" w:pos="357"/>
        </w:tabs>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C474C3"/>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C436BB4"/>
    <w:multiLevelType w:val="hybridMultilevel"/>
    <w:tmpl w:val="A46A045E"/>
    <w:lvl w:ilvl="0" w:tplc="0C09000F">
      <w:start w:val="1"/>
      <w:numFmt w:val="bullet"/>
      <w:lvlText w:val=""/>
      <w:lvlJc w:val="left"/>
      <w:pPr>
        <w:tabs>
          <w:tab w:val="num" w:pos="360"/>
        </w:tabs>
        <w:ind w:left="360" w:hanging="360"/>
      </w:pPr>
      <w:rPr>
        <w:rFonts w:ascii="Wingdings" w:hAnsi="Wingdings" w:hint="default"/>
      </w:rPr>
    </w:lvl>
    <w:lvl w:ilvl="1" w:tplc="0C090019" w:tentative="1">
      <w:start w:val="1"/>
      <w:numFmt w:val="bullet"/>
      <w:lvlText w:val="o"/>
      <w:lvlJc w:val="left"/>
      <w:pPr>
        <w:tabs>
          <w:tab w:val="num" w:pos="1080"/>
        </w:tabs>
        <w:ind w:left="1080" w:hanging="360"/>
      </w:pPr>
      <w:rPr>
        <w:rFonts w:ascii="Courier New" w:hAnsi="Courier New" w:hint="default"/>
      </w:rPr>
    </w:lvl>
    <w:lvl w:ilvl="2" w:tplc="0C09001B" w:tentative="1">
      <w:start w:val="1"/>
      <w:numFmt w:val="bullet"/>
      <w:lvlText w:val=""/>
      <w:lvlJc w:val="left"/>
      <w:pPr>
        <w:tabs>
          <w:tab w:val="num" w:pos="1800"/>
        </w:tabs>
        <w:ind w:left="1800" w:hanging="360"/>
      </w:pPr>
      <w:rPr>
        <w:rFonts w:ascii="Wingdings" w:hAnsi="Wingdings" w:hint="default"/>
      </w:rPr>
    </w:lvl>
    <w:lvl w:ilvl="3" w:tplc="0C09000F">
      <w:start w:val="1"/>
      <w:numFmt w:val="bullet"/>
      <w:pStyle w:val="DefinitionL3"/>
      <w:lvlText w:val=""/>
      <w:lvlJc w:val="left"/>
      <w:pPr>
        <w:tabs>
          <w:tab w:val="num" w:pos="2520"/>
        </w:tabs>
        <w:ind w:left="2520" w:hanging="360"/>
      </w:pPr>
      <w:rPr>
        <w:rFonts w:ascii="Symbol" w:hAnsi="Symbol" w:hint="default"/>
      </w:rPr>
    </w:lvl>
    <w:lvl w:ilvl="4" w:tplc="0C090019" w:tentative="1">
      <w:start w:val="1"/>
      <w:numFmt w:val="bullet"/>
      <w:lvlText w:val="o"/>
      <w:lvlJc w:val="left"/>
      <w:pPr>
        <w:tabs>
          <w:tab w:val="num" w:pos="3240"/>
        </w:tabs>
        <w:ind w:left="3240" w:hanging="360"/>
      </w:pPr>
      <w:rPr>
        <w:rFonts w:ascii="Courier New" w:hAnsi="Courier New" w:hint="default"/>
      </w:rPr>
    </w:lvl>
    <w:lvl w:ilvl="5" w:tplc="0C09001B" w:tentative="1">
      <w:start w:val="1"/>
      <w:numFmt w:val="bullet"/>
      <w:lvlText w:val=""/>
      <w:lvlJc w:val="left"/>
      <w:pPr>
        <w:tabs>
          <w:tab w:val="num" w:pos="3960"/>
        </w:tabs>
        <w:ind w:left="3960" w:hanging="360"/>
      </w:pPr>
      <w:rPr>
        <w:rFonts w:ascii="Wingdings" w:hAnsi="Wingdings" w:hint="default"/>
      </w:rPr>
    </w:lvl>
    <w:lvl w:ilvl="6" w:tplc="0C09000F" w:tentative="1">
      <w:start w:val="1"/>
      <w:numFmt w:val="bullet"/>
      <w:lvlText w:val=""/>
      <w:lvlJc w:val="left"/>
      <w:pPr>
        <w:tabs>
          <w:tab w:val="num" w:pos="4680"/>
        </w:tabs>
        <w:ind w:left="4680" w:hanging="360"/>
      </w:pPr>
      <w:rPr>
        <w:rFonts w:ascii="Symbol" w:hAnsi="Symbol" w:hint="default"/>
      </w:rPr>
    </w:lvl>
    <w:lvl w:ilvl="7" w:tplc="0C090019" w:tentative="1">
      <w:start w:val="1"/>
      <w:numFmt w:val="bullet"/>
      <w:lvlText w:val="o"/>
      <w:lvlJc w:val="left"/>
      <w:pPr>
        <w:tabs>
          <w:tab w:val="num" w:pos="5400"/>
        </w:tabs>
        <w:ind w:left="5400" w:hanging="360"/>
      </w:pPr>
      <w:rPr>
        <w:rFonts w:ascii="Courier New" w:hAnsi="Courier New" w:hint="default"/>
      </w:rPr>
    </w:lvl>
    <w:lvl w:ilvl="8" w:tplc="0C09001B"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5FC5EFF"/>
    <w:multiLevelType w:val="hybridMultilevel"/>
    <w:tmpl w:val="38A0C8C6"/>
    <w:lvl w:ilvl="0" w:tplc="69FE925C">
      <w:start w:val="1"/>
      <w:numFmt w:val="bullet"/>
      <w:pStyle w:val="Quote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15:restartNumberingAfterBreak="0">
    <w:nsid w:val="42087D42"/>
    <w:multiLevelType w:val="hybridMultilevel"/>
    <w:tmpl w:val="48C87A36"/>
    <w:lvl w:ilvl="0" w:tplc="E1F647D4">
      <w:start w:val="1"/>
      <w:numFmt w:val="decimal"/>
      <w:pStyle w:val="TableNumberedList"/>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62F4A0B"/>
    <w:multiLevelType w:val="hybridMultilevel"/>
    <w:tmpl w:val="C276A592"/>
    <w:lvl w:ilvl="0" w:tplc="4FC80C74">
      <w:start w:val="1"/>
      <w:numFmt w:val="bullet"/>
      <w:pStyle w:val="TableBullet"/>
      <w:lvlText w:val="•"/>
      <w:lvlJc w:val="left"/>
      <w:pPr>
        <w:tabs>
          <w:tab w:val="num" w:pos="360"/>
        </w:tabs>
        <w:ind w:left="360" w:hanging="360"/>
      </w:pPr>
      <w:rPr>
        <w:rFonts w:ascii="Verdana" w:hAnsi="Verdana" w:hint="default"/>
        <w:sz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C6264B4"/>
    <w:multiLevelType w:val="hybridMultilevel"/>
    <w:tmpl w:val="04C2F852"/>
    <w:lvl w:ilvl="0" w:tplc="2E5E2236">
      <w:start w:val="1"/>
      <w:numFmt w:val="bullet"/>
      <w:pStyle w:val="TableDash"/>
      <w:lvlText w:val="–"/>
      <w:lvlJc w:val="left"/>
      <w:pPr>
        <w:tabs>
          <w:tab w:val="num" w:pos="216"/>
        </w:tabs>
        <w:ind w:left="432" w:hanging="216"/>
      </w:pPr>
      <w:rPr>
        <w:rFonts w:ascii="Times New Roman" w:hAnsi="Times New Roman" w:cs="Times New Roman" w:hint="default"/>
        <w:sz w:val="16"/>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34A5BB2"/>
    <w:multiLevelType w:val="hybridMultilevel"/>
    <w:tmpl w:val="0A2EC3E2"/>
    <w:lvl w:ilvl="0" w:tplc="DF183732">
      <w:start w:val="1"/>
      <w:numFmt w:val="bullet"/>
      <w:pStyle w:val="BulletChecklist"/>
      <w:lvlText w:val=""/>
      <w:lvlJc w:val="left"/>
      <w:pPr>
        <w:ind w:left="720" w:hanging="360"/>
      </w:pPr>
      <w:rPr>
        <w:rFonts w:ascii="Wingdings" w:hAnsi="Wingding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4C5142E"/>
    <w:multiLevelType w:val="multilevel"/>
    <w:tmpl w:val="B06A6712"/>
    <w:lvl w:ilvl="0">
      <w:start w:val="1"/>
      <w:numFmt w:val="decimal"/>
      <w:pStyle w:val="ScheduleL1"/>
      <w:suff w:val="nothing"/>
      <w:lvlText w:val="Schedule %1"/>
      <w:lvlJc w:val="left"/>
      <w:pPr>
        <w:ind w:left="724"/>
      </w:pPr>
      <w:rPr>
        <w:rFonts w:cs="Times New Roman" w:hint="default"/>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cheduleL2"/>
      <w:lvlText w:val="%2."/>
      <w:lvlJc w:val="left"/>
      <w:pPr>
        <w:tabs>
          <w:tab w:val="num" w:pos="680"/>
        </w:tabs>
        <w:ind w:left="680" w:hanging="680"/>
      </w:pPr>
      <w:rPr>
        <w:rFonts w:cs="Times New Roman" w:hint="default"/>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cheduleL3"/>
      <w:lvlText w:val="%2.%3"/>
      <w:lvlJc w:val="left"/>
      <w:pPr>
        <w:tabs>
          <w:tab w:val="num" w:pos="680"/>
        </w:tabs>
        <w:ind w:left="680" w:hanging="680"/>
      </w:pPr>
      <w:rPr>
        <w:rFonts w:cs="Times New Roman"/>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cheduleL4"/>
      <w:lvlText w:val="(%4)"/>
      <w:lvlJc w:val="left"/>
      <w:pPr>
        <w:tabs>
          <w:tab w:val="num" w:pos="1361"/>
        </w:tabs>
        <w:ind w:left="1361" w:hanging="681"/>
      </w:pPr>
      <w:rPr>
        <w:rFonts w:ascii="Times New Roman" w:hAnsi="Times New Roman" w:cs="Times New Roman" w:hint="default"/>
        <w:i w:val="0"/>
        <w:strike w:val="0"/>
      </w:rPr>
    </w:lvl>
    <w:lvl w:ilvl="4">
      <w:start w:val="1"/>
      <w:numFmt w:val="lowerRoman"/>
      <w:pStyle w:val="ScheduleL6"/>
      <w:lvlText w:val="(%5)"/>
      <w:lvlJc w:val="left"/>
      <w:pPr>
        <w:tabs>
          <w:tab w:val="num" w:pos="2081"/>
        </w:tabs>
        <w:ind w:left="2041" w:hanging="680"/>
      </w:pPr>
      <w:rPr>
        <w:rFonts w:hAnsi="Times New Roman" w:cs="Times New Roman"/>
        <w:i w:val="0"/>
        <w:caps w:val="0"/>
        <w:smallCaps w:val="0"/>
        <w:vanish w:val="0"/>
        <w:color w:val="000000"/>
        <w:spacing w:val="0"/>
        <w:position w:val="0"/>
        <w:u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ScheduleL7"/>
      <w:lvlText w:val="(%6)"/>
      <w:lvlJc w:val="left"/>
      <w:pPr>
        <w:tabs>
          <w:tab w:val="num" w:pos="2722"/>
        </w:tabs>
        <w:ind w:left="2722" w:hanging="681"/>
      </w:pPr>
      <w:rPr>
        <w:rFonts w:cs="Times New Roman" w:hint="default"/>
      </w:rPr>
    </w:lvl>
    <w:lvl w:ilvl="6">
      <w:start w:val="1"/>
      <w:numFmt w:val="none"/>
      <w:suff w:val="nothing"/>
      <w:lvlText w:val=""/>
      <w:lvlJc w:val="left"/>
      <w:rPr>
        <w:rFonts w:cs="Times New Roman" w:hint="default"/>
      </w:rPr>
    </w:lvl>
    <w:lvl w:ilvl="7">
      <w:start w:val="1"/>
      <w:numFmt w:val="none"/>
      <w:suff w:val="nothing"/>
      <w:lvlText w:val="%8"/>
      <w:lvlJc w:val="left"/>
      <w:rPr>
        <w:rFonts w:cs="Times New Roman" w:hint="default"/>
      </w:rPr>
    </w:lvl>
    <w:lvl w:ilvl="8">
      <w:start w:val="1"/>
      <w:numFmt w:val="none"/>
      <w:suff w:val="nothing"/>
      <w:lvlText w:val="%9"/>
      <w:lvlJc w:val="left"/>
      <w:rPr>
        <w:rFonts w:cs="Times New Roman" w:hint="default"/>
      </w:rPr>
    </w:lvl>
  </w:abstractNum>
  <w:abstractNum w:abstractNumId="13" w15:restartNumberingAfterBreak="0">
    <w:nsid w:val="78E81FDC"/>
    <w:multiLevelType w:val="hybridMultilevel"/>
    <w:tmpl w:val="9920EB10"/>
    <w:lvl w:ilvl="0" w:tplc="670E1EBC">
      <w:start w:val="1"/>
      <w:numFmt w:val="bullet"/>
      <w:pStyle w:val="BulletBeforeDash"/>
      <w:lvlText w:val="•"/>
      <w:lvlJc w:val="left"/>
      <w:pPr>
        <w:tabs>
          <w:tab w:val="num" w:pos="360"/>
        </w:tabs>
        <w:ind w:left="360" w:hanging="360"/>
      </w:pPr>
      <w:rPr>
        <w:rFont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6"/>
  </w:num>
  <w:num w:numId="3">
    <w:abstractNumId w:val="0"/>
  </w:num>
  <w:num w:numId="4">
    <w:abstractNumId w:val="3"/>
  </w:num>
  <w:num w:numId="5">
    <w:abstractNumId w:val="5"/>
  </w:num>
  <w:num w:numId="6">
    <w:abstractNumId w:val="9"/>
  </w:num>
  <w:num w:numId="7">
    <w:abstractNumId w:val="10"/>
  </w:num>
  <w:num w:numId="8">
    <w:abstractNumId w:val="13"/>
  </w:num>
  <w:num w:numId="9">
    <w:abstractNumId w:val="2"/>
  </w:num>
  <w:num w:numId="10">
    <w:abstractNumId w:val="1"/>
  </w:num>
  <w:num w:numId="11">
    <w:abstractNumId w:val="11"/>
  </w:num>
  <w:num w:numId="12">
    <w:abstractNumId w:val="7"/>
  </w:num>
  <w:num w:numId="13">
    <w:abstractNumId w:val="4"/>
  </w:num>
  <w:num w:numId="14">
    <w:abstractNumId w:val="8"/>
  </w:num>
  <w:num w:numId="15">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doNotTrackFormatting/>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33F"/>
    <w:rsid w:val="0000094B"/>
    <w:rsid w:val="00001334"/>
    <w:rsid w:val="00002517"/>
    <w:rsid w:val="000050F3"/>
    <w:rsid w:val="000060A7"/>
    <w:rsid w:val="0000762F"/>
    <w:rsid w:val="00007BA1"/>
    <w:rsid w:val="00011F8B"/>
    <w:rsid w:val="00012A9C"/>
    <w:rsid w:val="000136F5"/>
    <w:rsid w:val="000138C6"/>
    <w:rsid w:val="00013912"/>
    <w:rsid w:val="00013E4C"/>
    <w:rsid w:val="00014636"/>
    <w:rsid w:val="000155D7"/>
    <w:rsid w:val="00015C5F"/>
    <w:rsid w:val="00015E92"/>
    <w:rsid w:val="00020379"/>
    <w:rsid w:val="00020D92"/>
    <w:rsid w:val="00021F42"/>
    <w:rsid w:val="000241B7"/>
    <w:rsid w:val="00026684"/>
    <w:rsid w:val="000266D1"/>
    <w:rsid w:val="00026BDF"/>
    <w:rsid w:val="00031D44"/>
    <w:rsid w:val="000344BF"/>
    <w:rsid w:val="0003654E"/>
    <w:rsid w:val="000367EC"/>
    <w:rsid w:val="0004039E"/>
    <w:rsid w:val="00040D02"/>
    <w:rsid w:val="0004484B"/>
    <w:rsid w:val="00045EBF"/>
    <w:rsid w:val="00052AB3"/>
    <w:rsid w:val="000538A7"/>
    <w:rsid w:val="0005428D"/>
    <w:rsid w:val="000549C5"/>
    <w:rsid w:val="00055771"/>
    <w:rsid w:val="00055A8C"/>
    <w:rsid w:val="00055D27"/>
    <w:rsid w:val="000616E1"/>
    <w:rsid w:val="00063385"/>
    <w:rsid w:val="000635FF"/>
    <w:rsid w:val="000641B0"/>
    <w:rsid w:val="00066E4C"/>
    <w:rsid w:val="00067572"/>
    <w:rsid w:val="00067884"/>
    <w:rsid w:val="00067EAD"/>
    <w:rsid w:val="00070C4F"/>
    <w:rsid w:val="00072131"/>
    <w:rsid w:val="00072D2F"/>
    <w:rsid w:val="000732D3"/>
    <w:rsid w:val="00073313"/>
    <w:rsid w:val="0007341C"/>
    <w:rsid w:val="00073DB8"/>
    <w:rsid w:val="000767B7"/>
    <w:rsid w:val="00077C43"/>
    <w:rsid w:val="000804A1"/>
    <w:rsid w:val="00080A0F"/>
    <w:rsid w:val="000824B9"/>
    <w:rsid w:val="0008379D"/>
    <w:rsid w:val="00085B4D"/>
    <w:rsid w:val="000878DC"/>
    <w:rsid w:val="00093C90"/>
    <w:rsid w:val="00094098"/>
    <w:rsid w:val="00094108"/>
    <w:rsid w:val="000946A7"/>
    <w:rsid w:val="000956E5"/>
    <w:rsid w:val="000958B1"/>
    <w:rsid w:val="00096943"/>
    <w:rsid w:val="00097572"/>
    <w:rsid w:val="000A0547"/>
    <w:rsid w:val="000A0703"/>
    <w:rsid w:val="000A4730"/>
    <w:rsid w:val="000A6143"/>
    <w:rsid w:val="000A6157"/>
    <w:rsid w:val="000A6FD7"/>
    <w:rsid w:val="000B0874"/>
    <w:rsid w:val="000B098A"/>
    <w:rsid w:val="000B13D5"/>
    <w:rsid w:val="000B1714"/>
    <w:rsid w:val="000B3B34"/>
    <w:rsid w:val="000B3CDF"/>
    <w:rsid w:val="000B5748"/>
    <w:rsid w:val="000B58EB"/>
    <w:rsid w:val="000B7852"/>
    <w:rsid w:val="000C23F8"/>
    <w:rsid w:val="000C4E47"/>
    <w:rsid w:val="000C5BA2"/>
    <w:rsid w:val="000C626D"/>
    <w:rsid w:val="000C6EEC"/>
    <w:rsid w:val="000C78A0"/>
    <w:rsid w:val="000C7A42"/>
    <w:rsid w:val="000C7C57"/>
    <w:rsid w:val="000D0518"/>
    <w:rsid w:val="000D056A"/>
    <w:rsid w:val="000D36DA"/>
    <w:rsid w:val="000D3E02"/>
    <w:rsid w:val="000D464F"/>
    <w:rsid w:val="000D660C"/>
    <w:rsid w:val="000D6E0D"/>
    <w:rsid w:val="000E1AF8"/>
    <w:rsid w:val="000E1C33"/>
    <w:rsid w:val="000E2485"/>
    <w:rsid w:val="000E2F6D"/>
    <w:rsid w:val="000E38C6"/>
    <w:rsid w:val="000E5025"/>
    <w:rsid w:val="000E5BCA"/>
    <w:rsid w:val="000E5C8C"/>
    <w:rsid w:val="000E6E1B"/>
    <w:rsid w:val="000F01DE"/>
    <w:rsid w:val="000F033A"/>
    <w:rsid w:val="000F1044"/>
    <w:rsid w:val="000F414F"/>
    <w:rsid w:val="000F4507"/>
    <w:rsid w:val="000F5640"/>
    <w:rsid w:val="000F602F"/>
    <w:rsid w:val="000F6143"/>
    <w:rsid w:val="000F7BE8"/>
    <w:rsid w:val="00102092"/>
    <w:rsid w:val="001023B8"/>
    <w:rsid w:val="001024D9"/>
    <w:rsid w:val="00103ADF"/>
    <w:rsid w:val="00104866"/>
    <w:rsid w:val="00105107"/>
    <w:rsid w:val="00105192"/>
    <w:rsid w:val="001057D7"/>
    <w:rsid w:val="0010694A"/>
    <w:rsid w:val="00110152"/>
    <w:rsid w:val="0011082C"/>
    <w:rsid w:val="00110F5D"/>
    <w:rsid w:val="001145B4"/>
    <w:rsid w:val="001155E6"/>
    <w:rsid w:val="001156F0"/>
    <w:rsid w:val="00115CD0"/>
    <w:rsid w:val="00116DA6"/>
    <w:rsid w:val="001170F0"/>
    <w:rsid w:val="00117E58"/>
    <w:rsid w:val="001219F0"/>
    <w:rsid w:val="00121DAB"/>
    <w:rsid w:val="00122B01"/>
    <w:rsid w:val="00122F74"/>
    <w:rsid w:val="001234E8"/>
    <w:rsid w:val="00124583"/>
    <w:rsid w:val="00126BEF"/>
    <w:rsid w:val="001270F7"/>
    <w:rsid w:val="001277D8"/>
    <w:rsid w:val="0013054E"/>
    <w:rsid w:val="00134719"/>
    <w:rsid w:val="00136A62"/>
    <w:rsid w:val="0014082F"/>
    <w:rsid w:val="0014133F"/>
    <w:rsid w:val="001435E7"/>
    <w:rsid w:val="00144407"/>
    <w:rsid w:val="0014472D"/>
    <w:rsid w:val="00145B4A"/>
    <w:rsid w:val="00147136"/>
    <w:rsid w:val="001471B1"/>
    <w:rsid w:val="00147EEA"/>
    <w:rsid w:val="00151BEA"/>
    <w:rsid w:val="001528DC"/>
    <w:rsid w:val="00152C5D"/>
    <w:rsid w:val="00154135"/>
    <w:rsid w:val="00155B33"/>
    <w:rsid w:val="001568FC"/>
    <w:rsid w:val="00156E8F"/>
    <w:rsid w:val="00157752"/>
    <w:rsid w:val="0016060D"/>
    <w:rsid w:val="001664F9"/>
    <w:rsid w:val="00166CDD"/>
    <w:rsid w:val="0016749F"/>
    <w:rsid w:val="0016788A"/>
    <w:rsid w:val="00170CF3"/>
    <w:rsid w:val="00170DF4"/>
    <w:rsid w:val="00171BB5"/>
    <w:rsid w:val="00172EE1"/>
    <w:rsid w:val="001759C1"/>
    <w:rsid w:val="00175CE7"/>
    <w:rsid w:val="00177353"/>
    <w:rsid w:val="0017779E"/>
    <w:rsid w:val="00177A50"/>
    <w:rsid w:val="00180608"/>
    <w:rsid w:val="00181280"/>
    <w:rsid w:val="001815C3"/>
    <w:rsid w:val="00182C65"/>
    <w:rsid w:val="00183ADF"/>
    <w:rsid w:val="00184120"/>
    <w:rsid w:val="0018466B"/>
    <w:rsid w:val="001861FC"/>
    <w:rsid w:val="00186EAF"/>
    <w:rsid w:val="00193425"/>
    <w:rsid w:val="001940EC"/>
    <w:rsid w:val="00194A44"/>
    <w:rsid w:val="00196121"/>
    <w:rsid w:val="0019671F"/>
    <w:rsid w:val="00196E58"/>
    <w:rsid w:val="001A1680"/>
    <w:rsid w:val="001A3D60"/>
    <w:rsid w:val="001A4555"/>
    <w:rsid w:val="001A67B5"/>
    <w:rsid w:val="001B040B"/>
    <w:rsid w:val="001B0B00"/>
    <w:rsid w:val="001B3388"/>
    <w:rsid w:val="001B3A26"/>
    <w:rsid w:val="001B3D12"/>
    <w:rsid w:val="001B7F4D"/>
    <w:rsid w:val="001C032D"/>
    <w:rsid w:val="001C0BFD"/>
    <w:rsid w:val="001C3EC6"/>
    <w:rsid w:val="001C5134"/>
    <w:rsid w:val="001C54AD"/>
    <w:rsid w:val="001C589B"/>
    <w:rsid w:val="001C6D2B"/>
    <w:rsid w:val="001C6E99"/>
    <w:rsid w:val="001D04A7"/>
    <w:rsid w:val="001D172A"/>
    <w:rsid w:val="001D1DE0"/>
    <w:rsid w:val="001D2042"/>
    <w:rsid w:val="001D26DB"/>
    <w:rsid w:val="001D4033"/>
    <w:rsid w:val="001D4BF8"/>
    <w:rsid w:val="001D7045"/>
    <w:rsid w:val="001D7269"/>
    <w:rsid w:val="001E0214"/>
    <w:rsid w:val="001E0309"/>
    <w:rsid w:val="001E0825"/>
    <w:rsid w:val="001E2788"/>
    <w:rsid w:val="001E2B87"/>
    <w:rsid w:val="001E58E4"/>
    <w:rsid w:val="001E770F"/>
    <w:rsid w:val="001E7A33"/>
    <w:rsid w:val="001F1066"/>
    <w:rsid w:val="001F2B0F"/>
    <w:rsid w:val="001F35E2"/>
    <w:rsid w:val="001F4500"/>
    <w:rsid w:val="001F5447"/>
    <w:rsid w:val="001F549E"/>
    <w:rsid w:val="0020039D"/>
    <w:rsid w:val="00200862"/>
    <w:rsid w:val="002008CF"/>
    <w:rsid w:val="0020116F"/>
    <w:rsid w:val="00201798"/>
    <w:rsid w:val="00204379"/>
    <w:rsid w:val="00205729"/>
    <w:rsid w:val="0020579D"/>
    <w:rsid w:val="00205D1B"/>
    <w:rsid w:val="00205FF4"/>
    <w:rsid w:val="00207241"/>
    <w:rsid w:val="002103A2"/>
    <w:rsid w:val="0021053D"/>
    <w:rsid w:val="00210EFF"/>
    <w:rsid w:val="002117C7"/>
    <w:rsid w:val="002207E2"/>
    <w:rsid w:val="00220C2E"/>
    <w:rsid w:val="00221079"/>
    <w:rsid w:val="00222030"/>
    <w:rsid w:val="00224159"/>
    <w:rsid w:val="002244B1"/>
    <w:rsid w:val="00224DF1"/>
    <w:rsid w:val="002252F7"/>
    <w:rsid w:val="00225DAA"/>
    <w:rsid w:val="00227CEE"/>
    <w:rsid w:val="002300B6"/>
    <w:rsid w:val="00230AA6"/>
    <w:rsid w:val="00230CCC"/>
    <w:rsid w:val="002316BC"/>
    <w:rsid w:val="00231D4A"/>
    <w:rsid w:val="00232921"/>
    <w:rsid w:val="00232B8E"/>
    <w:rsid w:val="00232BE0"/>
    <w:rsid w:val="00232D2F"/>
    <w:rsid w:val="00234A79"/>
    <w:rsid w:val="00234F91"/>
    <w:rsid w:val="00235756"/>
    <w:rsid w:val="00235D1D"/>
    <w:rsid w:val="002368E0"/>
    <w:rsid w:val="002369C2"/>
    <w:rsid w:val="00243E29"/>
    <w:rsid w:val="00250FDE"/>
    <w:rsid w:val="00251096"/>
    <w:rsid w:val="00253416"/>
    <w:rsid w:val="00253BC4"/>
    <w:rsid w:val="00255407"/>
    <w:rsid w:val="00255683"/>
    <w:rsid w:val="00255BD5"/>
    <w:rsid w:val="00256EBF"/>
    <w:rsid w:val="00260F98"/>
    <w:rsid w:val="00262A4E"/>
    <w:rsid w:val="002649A0"/>
    <w:rsid w:val="002656B8"/>
    <w:rsid w:val="00265E42"/>
    <w:rsid w:val="002700D3"/>
    <w:rsid w:val="002717D5"/>
    <w:rsid w:val="0027253E"/>
    <w:rsid w:val="00274D2F"/>
    <w:rsid w:val="00275205"/>
    <w:rsid w:val="002752C9"/>
    <w:rsid w:val="00276151"/>
    <w:rsid w:val="0027623D"/>
    <w:rsid w:val="0027648D"/>
    <w:rsid w:val="0028050E"/>
    <w:rsid w:val="0028068D"/>
    <w:rsid w:val="00284801"/>
    <w:rsid w:val="0028641E"/>
    <w:rsid w:val="00290030"/>
    <w:rsid w:val="00292794"/>
    <w:rsid w:val="00292AF2"/>
    <w:rsid w:val="00293B5B"/>
    <w:rsid w:val="00293CEC"/>
    <w:rsid w:val="00295373"/>
    <w:rsid w:val="002A19B8"/>
    <w:rsid w:val="002A1DD0"/>
    <w:rsid w:val="002A37C3"/>
    <w:rsid w:val="002A38A7"/>
    <w:rsid w:val="002A4677"/>
    <w:rsid w:val="002A4A4B"/>
    <w:rsid w:val="002A72DD"/>
    <w:rsid w:val="002B1570"/>
    <w:rsid w:val="002B29EE"/>
    <w:rsid w:val="002B3FCC"/>
    <w:rsid w:val="002B5325"/>
    <w:rsid w:val="002B5A20"/>
    <w:rsid w:val="002B61D5"/>
    <w:rsid w:val="002B7313"/>
    <w:rsid w:val="002B7BB7"/>
    <w:rsid w:val="002C03D1"/>
    <w:rsid w:val="002C1290"/>
    <w:rsid w:val="002C25EF"/>
    <w:rsid w:val="002C3E4D"/>
    <w:rsid w:val="002C491A"/>
    <w:rsid w:val="002C5FC6"/>
    <w:rsid w:val="002D443D"/>
    <w:rsid w:val="002D62E3"/>
    <w:rsid w:val="002D68A2"/>
    <w:rsid w:val="002E148A"/>
    <w:rsid w:val="002E246F"/>
    <w:rsid w:val="002E2855"/>
    <w:rsid w:val="002E66D9"/>
    <w:rsid w:val="002F26F9"/>
    <w:rsid w:val="002F27F3"/>
    <w:rsid w:val="002F28BD"/>
    <w:rsid w:val="002F3540"/>
    <w:rsid w:val="002F357F"/>
    <w:rsid w:val="002F4B9A"/>
    <w:rsid w:val="002F7D07"/>
    <w:rsid w:val="003016C5"/>
    <w:rsid w:val="00301BE1"/>
    <w:rsid w:val="00301FC5"/>
    <w:rsid w:val="003024E1"/>
    <w:rsid w:val="003031F8"/>
    <w:rsid w:val="00304082"/>
    <w:rsid w:val="00304CF3"/>
    <w:rsid w:val="003059F3"/>
    <w:rsid w:val="00306D6A"/>
    <w:rsid w:val="00307E35"/>
    <w:rsid w:val="0031074D"/>
    <w:rsid w:val="003108DD"/>
    <w:rsid w:val="00310AEB"/>
    <w:rsid w:val="00311A8C"/>
    <w:rsid w:val="00315AAC"/>
    <w:rsid w:val="00317145"/>
    <w:rsid w:val="0032017D"/>
    <w:rsid w:val="003205F6"/>
    <w:rsid w:val="00322051"/>
    <w:rsid w:val="003224AF"/>
    <w:rsid w:val="003239D5"/>
    <w:rsid w:val="0032410E"/>
    <w:rsid w:val="00325E51"/>
    <w:rsid w:val="0032657B"/>
    <w:rsid w:val="003267DB"/>
    <w:rsid w:val="00326E6C"/>
    <w:rsid w:val="003304E5"/>
    <w:rsid w:val="003308B8"/>
    <w:rsid w:val="00333264"/>
    <w:rsid w:val="0033430D"/>
    <w:rsid w:val="003366E0"/>
    <w:rsid w:val="0033732D"/>
    <w:rsid w:val="00337E86"/>
    <w:rsid w:val="003409AE"/>
    <w:rsid w:val="00342F9A"/>
    <w:rsid w:val="00344304"/>
    <w:rsid w:val="00344BE3"/>
    <w:rsid w:val="00345195"/>
    <w:rsid w:val="003467D7"/>
    <w:rsid w:val="0034788A"/>
    <w:rsid w:val="0035501F"/>
    <w:rsid w:val="003610B2"/>
    <w:rsid w:val="003615E0"/>
    <w:rsid w:val="00361D91"/>
    <w:rsid w:val="00362E40"/>
    <w:rsid w:val="00363BB8"/>
    <w:rsid w:val="0036566C"/>
    <w:rsid w:val="00366233"/>
    <w:rsid w:val="00366A6E"/>
    <w:rsid w:val="00366BA3"/>
    <w:rsid w:val="00367312"/>
    <w:rsid w:val="00367B75"/>
    <w:rsid w:val="0037087C"/>
    <w:rsid w:val="00370A53"/>
    <w:rsid w:val="00370C26"/>
    <w:rsid w:val="00370CA1"/>
    <w:rsid w:val="003719A2"/>
    <w:rsid w:val="00371CD0"/>
    <w:rsid w:val="00371FED"/>
    <w:rsid w:val="003746D9"/>
    <w:rsid w:val="00374D97"/>
    <w:rsid w:val="003759EC"/>
    <w:rsid w:val="00376D73"/>
    <w:rsid w:val="003775D3"/>
    <w:rsid w:val="003802CB"/>
    <w:rsid w:val="003803F6"/>
    <w:rsid w:val="0038113A"/>
    <w:rsid w:val="003841E8"/>
    <w:rsid w:val="00384FAA"/>
    <w:rsid w:val="00386380"/>
    <w:rsid w:val="00387FEC"/>
    <w:rsid w:val="003931B5"/>
    <w:rsid w:val="003946B5"/>
    <w:rsid w:val="003965A0"/>
    <w:rsid w:val="00396FCF"/>
    <w:rsid w:val="00397863"/>
    <w:rsid w:val="00397B8C"/>
    <w:rsid w:val="003A18E7"/>
    <w:rsid w:val="003A1927"/>
    <w:rsid w:val="003A21CD"/>
    <w:rsid w:val="003A22E3"/>
    <w:rsid w:val="003A28A3"/>
    <w:rsid w:val="003A3AA7"/>
    <w:rsid w:val="003A432F"/>
    <w:rsid w:val="003A5469"/>
    <w:rsid w:val="003A6987"/>
    <w:rsid w:val="003A77CC"/>
    <w:rsid w:val="003B05DC"/>
    <w:rsid w:val="003B07E8"/>
    <w:rsid w:val="003B2720"/>
    <w:rsid w:val="003B3464"/>
    <w:rsid w:val="003B52A1"/>
    <w:rsid w:val="003B71E1"/>
    <w:rsid w:val="003B73F1"/>
    <w:rsid w:val="003C0287"/>
    <w:rsid w:val="003C10B6"/>
    <w:rsid w:val="003C285C"/>
    <w:rsid w:val="003C2C91"/>
    <w:rsid w:val="003C453E"/>
    <w:rsid w:val="003C4C6B"/>
    <w:rsid w:val="003C6076"/>
    <w:rsid w:val="003D0988"/>
    <w:rsid w:val="003D251B"/>
    <w:rsid w:val="003D5406"/>
    <w:rsid w:val="003D5EE3"/>
    <w:rsid w:val="003D687B"/>
    <w:rsid w:val="003D73CC"/>
    <w:rsid w:val="003D7F81"/>
    <w:rsid w:val="003E027E"/>
    <w:rsid w:val="003E0751"/>
    <w:rsid w:val="003E0CBC"/>
    <w:rsid w:val="003E6D35"/>
    <w:rsid w:val="003F419A"/>
    <w:rsid w:val="003F5C5D"/>
    <w:rsid w:val="003F63BF"/>
    <w:rsid w:val="003F63F0"/>
    <w:rsid w:val="003F715B"/>
    <w:rsid w:val="003F76D3"/>
    <w:rsid w:val="00400604"/>
    <w:rsid w:val="00400B32"/>
    <w:rsid w:val="004024FE"/>
    <w:rsid w:val="00403114"/>
    <w:rsid w:val="00403DB6"/>
    <w:rsid w:val="00404BB8"/>
    <w:rsid w:val="00407339"/>
    <w:rsid w:val="004079EB"/>
    <w:rsid w:val="004122E7"/>
    <w:rsid w:val="00412913"/>
    <w:rsid w:val="0041367E"/>
    <w:rsid w:val="0041744D"/>
    <w:rsid w:val="00424273"/>
    <w:rsid w:val="004244B6"/>
    <w:rsid w:val="0042566B"/>
    <w:rsid w:val="0043036B"/>
    <w:rsid w:val="004307D0"/>
    <w:rsid w:val="00430D9A"/>
    <w:rsid w:val="00430E76"/>
    <w:rsid w:val="00431100"/>
    <w:rsid w:val="0043156C"/>
    <w:rsid w:val="00432163"/>
    <w:rsid w:val="00432D74"/>
    <w:rsid w:val="0044041A"/>
    <w:rsid w:val="004409F4"/>
    <w:rsid w:val="0044216F"/>
    <w:rsid w:val="00443228"/>
    <w:rsid w:val="0044345F"/>
    <w:rsid w:val="0044385D"/>
    <w:rsid w:val="00443B4B"/>
    <w:rsid w:val="00445FA0"/>
    <w:rsid w:val="004460A2"/>
    <w:rsid w:val="00446162"/>
    <w:rsid w:val="00446B92"/>
    <w:rsid w:val="004473CD"/>
    <w:rsid w:val="004504B2"/>
    <w:rsid w:val="0045090A"/>
    <w:rsid w:val="0045268D"/>
    <w:rsid w:val="00452B62"/>
    <w:rsid w:val="00454C2B"/>
    <w:rsid w:val="004558C3"/>
    <w:rsid w:val="004562D3"/>
    <w:rsid w:val="004604A7"/>
    <w:rsid w:val="00461029"/>
    <w:rsid w:val="00461543"/>
    <w:rsid w:val="00465F14"/>
    <w:rsid w:val="00466B55"/>
    <w:rsid w:val="0046762A"/>
    <w:rsid w:val="00470A70"/>
    <w:rsid w:val="00470AEE"/>
    <w:rsid w:val="00471FC6"/>
    <w:rsid w:val="00472ED8"/>
    <w:rsid w:val="00473367"/>
    <w:rsid w:val="0047394B"/>
    <w:rsid w:val="00473BE9"/>
    <w:rsid w:val="00476EE4"/>
    <w:rsid w:val="00477438"/>
    <w:rsid w:val="00480BED"/>
    <w:rsid w:val="00481DFB"/>
    <w:rsid w:val="0048259A"/>
    <w:rsid w:val="00482F60"/>
    <w:rsid w:val="0048301E"/>
    <w:rsid w:val="00483D0C"/>
    <w:rsid w:val="00484B3E"/>
    <w:rsid w:val="004863E4"/>
    <w:rsid w:val="00486D33"/>
    <w:rsid w:val="004911AF"/>
    <w:rsid w:val="004914AE"/>
    <w:rsid w:val="0049578B"/>
    <w:rsid w:val="00497376"/>
    <w:rsid w:val="0049762B"/>
    <w:rsid w:val="00497675"/>
    <w:rsid w:val="004A13DF"/>
    <w:rsid w:val="004A14D4"/>
    <w:rsid w:val="004A21B1"/>
    <w:rsid w:val="004A27B0"/>
    <w:rsid w:val="004A379B"/>
    <w:rsid w:val="004A61DA"/>
    <w:rsid w:val="004B0FB2"/>
    <w:rsid w:val="004B291C"/>
    <w:rsid w:val="004B33B3"/>
    <w:rsid w:val="004B3407"/>
    <w:rsid w:val="004B3655"/>
    <w:rsid w:val="004B38EA"/>
    <w:rsid w:val="004B3A8C"/>
    <w:rsid w:val="004B3C2E"/>
    <w:rsid w:val="004B7925"/>
    <w:rsid w:val="004C1809"/>
    <w:rsid w:val="004C36C1"/>
    <w:rsid w:val="004C4037"/>
    <w:rsid w:val="004C472F"/>
    <w:rsid w:val="004C6B7F"/>
    <w:rsid w:val="004C6DC3"/>
    <w:rsid w:val="004C7712"/>
    <w:rsid w:val="004D0360"/>
    <w:rsid w:val="004D165F"/>
    <w:rsid w:val="004D2990"/>
    <w:rsid w:val="004D2FD9"/>
    <w:rsid w:val="004D68B7"/>
    <w:rsid w:val="004D78C0"/>
    <w:rsid w:val="004E2C0D"/>
    <w:rsid w:val="004E2E7D"/>
    <w:rsid w:val="004E3648"/>
    <w:rsid w:val="004E3DF9"/>
    <w:rsid w:val="004E4C48"/>
    <w:rsid w:val="004E5897"/>
    <w:rsid w:val="004E6116"/>
    <w:rsid w:val="004E6DB6"/>
    <w:rsid w:val="004F0FC4"/>
    <w:rsid w:val="004F19F4"/>
    <w:rsid w:val="004F2FA5"/>
    <w:rsid w:val="004F3150"/>
    <w:rsid w:val="004F51B9"/>
    <w:rsid w:val="004F6BF5"/>
    <w:rsid w:val="004F7B01"/>
    <w:rsid w:val="004F7DDE"/>
    <w:rsid w:val="00501D95"/>
    <w:rsid w:val="0050371F"/>
    <w:rsid w:val="005057E3"/>
    <w:rsid w:val="00505999"/>
    <w:rsid w:val="00505D4D"/>
    <w:rsid w:val="0050642E"/>
    <w:rsid w:val="00506863"/>
    <w:rsid w:val="00506DFF"/>
    <w:rsid w:val="00507A1E"/>
    <w:rsid w:val="0051531A"/>
    <w:rsid w:val="00515B52"/>
    <w:rsid w:val="00515BBE"/>
    <w:rsid w:val="00516982"/>
    <w:rsid w:val="00517852"/>
    <w:rsid w:val="00520A2D"/>
    <w:rsid w:val="00520C95"/>
    <w:rsid w:val="00520CD5"/>
    <w:rsid w:val="00521B5B"/>
    <w:rsid w:val="005228D1"/>
    <w:rsid w:val="00522DEB"/>
    <w:rsid w:val="0052313C"/>
    <w:rsid w:val="00523F99"/>
    <w:rsid w:val="005245EC"/>
    <w:rsid w:val="005249BC"/>
    <w:rsid w:val="00525A47"/>
    <w:rsid w:val="00525A74"/>
    <w:rsid w:val="00526672"/>
    <w:rsid w:val="0053119E"/>
    <w:rsid w:val="00532182"/>
    <w:rsid w:val="0053681D"/>
    <w:rsid w:val="00536D7F"/>
    <w:rsid w:val="0053760F"/>
    <w:rsid w:val="005408AA"/>
    <w:rsid w:val="005415D3"/>
    <w:rsid w:val="005422CB"/>
    <w:rsid w:val="005435B5"/>
    <w:rsid w:val="00543625"/>
    <w:rsid w:val="00545B74"/>
    <w:rsid w:val="00547365"/>
    <w:rsid w:val="00550533"/>
    <w:rsid w:val="00550CCF"/>
    <w:rsid w:val="005510AA"/>
    <w:rsid w:val="005516CF"/>
    <w:rsid w:val="00551DF8"/>
    <w:rsid w:val="00553B4E"/>
    <w:rsid w:val="005545D8"/>
    <w:rsid w:val="00554635"/>
    <w:rsid w:val="00557FE9"/>
    <w:rsid w:val="00560FC2"/>
    <w:rsid w:val="0056153B"/>
    <w:rsid w:val="0056411A"/>
    <w:rsid w:val="00565679"/>
    <w:rsid w:val="005658F1"/>
    <w:rsid w:val="00565B80"/>
    <w:rsid w:val="00565CDD"/>
    <w:rsid w:val="00566B63"/>
    <w:rsid w:val="0057273C"/>
    <w:rsid w:val="0057304E"/>
    <w:rsid w:val="00574F71"/>
    <w:rsid w:val="0057764D"/>
    <w:rsid w:val="00577860"/>
    <w:rsid w:val="00577945"/>
    <w:rsid w:val="005801CE"/>
    <w:rsid w:val="005805BE"/>
    <w:rsid w:val="005823A9"/>
    <w:rsid w:val="005875EE"/>
    <w:rsid w:val="00587898"/>
    <w:rsid w:val="00594F7C"/>
    <w:rsid w:val="00596BF1"/>
    <w:rsid w:val="005975BD"/>
    <w:rsid w:val="005A0D61"/>
    <w:rsid w:val="005A1295"/>
    <w:rsid w:val="005A1798"/>
    <w:rsid w:val="005A2393"/>
    <w:rsid w:val="005A2F78"/>
    <w:rsid w:val="005A52EB"/>
    <w:rsid w:val="005A7007"/>
    <w:rsid w:val="005A7513"/>
    <w:rsid w:val="005A7F34"/>
    <w:rsid w:val="005B1656"/>
    <w:rsid w:val="005B357A"/>
    <w:rsid w:val="005B3D2E"/>
    <w:rsid w:val="005B4517"/>
    <w:rsid w:val="005B4A84"/>
    <w:rsid w:val="005B4D41"/>
    <w:rsid w:val="005B60DE"/>
    <w:rsid w:val="005B75D8"/>
    <w:rsid w:val="005B7C66"/>
    <w:rsid w:val="005C00F7"/>
    <w:rsid w:val="005C153A"/>
    <w:rsid w:val="005C16B5"/>
    <w:rsid w:val="005C18F4"/>
    <w:rsid w:val="005C47F1"/>
    <w:rsid w:val="005C50FA"/>
    <w:rsid w:val="005C594D"/>
    <w:rsid w:val="005C5E36"/>
    <w:rsid w:val="005C6AE7"/>
    <w:rsid w:val="005C6FCA"/>
    <w:rsid w:val="005D0101"/>
    <w:rsid w:val="005D37AA"/>
    <w:rsid w:val="005D40A6"/>
    <w:rsid w:val="005D55DA"/>
    <w:rsid w:val="005D5EA0"/>
    <w:rsid w:val="005E1C17"/>
    <w:rsid w:val="005E3590"/>
    <w:rsid w:val="005E397E"/>
    <w:rsid w:val="005E4F9B"/>
    <w:rsid w:val="005E6127"/>
    <w:rsid w:val="005E7A9F"/>
    <w:rsid w:val="005F035A"/>
    <w:rsid w:val="005F11B2"/>
    <w:rsid w:val="005F1A5D"/>
    <w:rsid w:val="005F24B6"/>
    <w:rsid w:val="005F365C"/>
    <w:rsid w:val="005F3A22"/>
    <w:rsid w:val="005F3EB6"/>
    <w:rsid w:val="0060012C"/>
    <w:rsid w:val="006027E0"/>
    <w:rsid w:val="00602AE3"/>
    <w:rsid w:val="00602D0A"/>
    <w:rsid w:val="006068AF"/>
    <w:rsid w:val="00606DFA"/>
    <w:rsid w:val="00607051"/>
    <w:rsid w:val="00607B3A"/>
    <w:rsid w:val="00611CE6"/>
    <w:rsid w:val="00613760"/>
    <w:rsid w:val="0061492D"/>
    <w:rsid w:val="00615EA0"/>
    <w:rsid w:val="00616AC9"/>
    <w:rsid w:val="00617468"/>
    <w:rsid w:val="00621C9D"/>
    <w:rsid w:val="00621CD5"/>
    <w:rsid w:val="0062226E"/>
    <w:rsid w:val="006223B1"/>
    <w:rsid w:val="00623264"/>
    <w:rsid w:val="00623632"/>
    <w:rsid w:val="00623F5B"/>
    <w:rsid w:val="0062520C"/>
    <w:rsid w:val="00625350"/>
    <w:rsid w:val="00630127"/>
    <w:rsid w:val="00633644"/>
    <w:rsid w:val="00634FC8"/>
    <w:rsid w:val="00635DA4"/>
    <w:rsid w:val="00636C80"/>
    <w:rsid w:val="00637CEC"/>
    <w:rsid w:val="0064023C"/>
    <w:rsid w:val="006403CA"/>
    <w:rsid w:val="00640921"/>
    <w:rsid w:val="006410D1"/>
    <w:rsid w:val="00643C33"/>
    <w:rsid w:val="006445CD"/>
    <w:rsid w:val="0064508C"/>
    <w:rsid w:val="006451F0"/>
    <w:rsid w:val="00647A3A"/>
    <w:rsid w:val="00654162"/>
    <w:rsid w:val="00654207"/>
    <w:rsid w:val="00655BA9"/>
    <w:rsid w:val="0065724D"/>
    <w:rsid w:val="00657465"/>
    <w:rsid w:val="00657982"/>
    <w:rsid w:val="0066029D"/>
    <w:rsid w:val="006629BD"/>
    <w:rsid w:val="00663736"/>
    <w:rsid w:val="00663C33"/>
    <w:rsid w:val="006650D0"/>
    <w:rsid w:val="00670005"/>
    <w:rsid w:val="00671A72"/>
    <w:rsid w:val="00671D91"/>
    <w:rsid w:val="00674BA9"/>
    <w:rsid w:val="00677615"/>
    <w:rsid w:val="006778F4"/>
    <w:rsid w:val="006801CB"/>
    <w:rsid w:val="006819DA"/>
    <w:rsid w:val="00682580"/>
    <w:rsid w:val="00683475"/>
    <w:rsid w:val="006840D4"/>
    <w:rsid w:val="006869B9"/>
    <w:rsid w:val="00691E13"/>
    <w:rsid w:val="00691FD4"/>
    <w:rsid w:val="00693747"/>
    <w:rsid w:val="006940D7"/>
    <w:rsid w:val="006941A0"/>
    <w:rsid w:val="00694D9E"/>
    <w:rsid w:val="00695B1D"/>
    <w:rsid w:val="00696EED"/>
    <w:rsid w:val="006A01AA"/>
    <w:rsid w:val="006A12B2"/>
    <w:rsid w:val="006A2BD2"/>
    <w:rsid w:val="006A389E"/>
    <w:rsid w:val="006A4F42"/>
    <w:rsid w:val="006A741E"/>
    <w:rsid w:val="006B05A3"/>
    <w:rsid w:val="006B125B"/>
    <w:rsid w:val="006B1941"/>
    <w:rsid w:val="006B3E10"/>
    <w:rsid w:val="006B552E"/>
    <w:rsid w:val="006B6CF5"/>
    <w:rsid w:val="006B73D5"/>
    <w:rsid w:val="006B770C"/>
    <w:rsid w:val="006C05A7"/>
    <w:rsid w:val="006C1C38"/>
    <w:rsid w:val="006C2737"/>
    <w:rsid w:val="006C2B38"/>
    <w:rsid w:val="006C2D76"/>
    <w:rsid w:val="006C418A"/>
    <w:rsid w:val="006C46D4"/>
    <w:rsid w:val="006D28FC"/>
    <w:rsid w:val="006D5C1D"/>
    <w:rsid w:val="006D66D3"/>
    <w:rsid w:val="006D6BB4"/>
    <w:rsid w:val="006D7544"/>
    <w:rsid w:val="006D7B71"/>
    <w:rsid w:val="006E0638"/>
    <w:rsid w:val="006E132F"/>
    <w:rsid w:val="006E1632"/>
    <w:rsid w:val="006E3C5F"/>
    <w:rsid w:val="006E4106"/>
    <w:rsid w:val="006E645C"/>
    <w:rsid w:val="006E66F6"/>
    <w:rsid w:val="006E6925"/>
    <w:rsid w:val="006E7235"/>
    <w:rsid w:val="006E72CE"/>
    <w:rsid w:val="006F17C0"/>
    <w:rsid w:val="006F1C5C"/>
    <w:rsid w:val="006F390E"/>
    <w:rsid w:val="006F48F2"/>
    <w:rsid w:val="006F4B13"/>
    <w:rsid w:val="006F4C3A"/>
    <w:rsid w:val="006F520E"/>
    <w:rsid w:val="006F58DA"/>
    <w:rsid w:val="0070276F"/>
    <w:rsid w:val="007040D4"/>
    <w:rsid w:val="0070539C"/>
    <w:rsid w:val="00705716"/>
    <w:rsid w:val="007067BC"/>
    <w:rsid w:val="00707173"/>
    <w:rsid w:val="00713AB4"/>
    <w:rsid w:val="007143BB"/>
    <w:rsid w:val="007151BB"/>
    <w:rsid w:val="00717E16"/>
    <w:rsid w:val="007208A2"/>
    <w:rsid w:val="00720B9C"/>
    <w:rsid w:val="00721031"/>
    <w:rsid w:val="00721BED"/>
    <w:rsid w:val="0072211D"/>
    <w:rsid w:val="00722216"/>
    <w:rsid w:val="00722234"/>
    <w:rsid w:val="00722713"/>
    <w:rsid w:val="007227A4"/>
    <w:rsid w:val="007250A5"/>
    <w:rsid w:val="00725275"/>
    <w:rsid w:val="00727793"/>
    <w:rsid w:val="007317E4"/>
    <w:rsid w:val="00731C45"/>
    <w:rsid w:val="00732B17"/>
    <w:rsid w:val="007345E0"/>
    <w:rsid w:val="00734C9F"/>
    <w:rsid w:val="00735676"/>
    <w:rsid w:val="007360B8"/>
    <w:rsid w:val="007369EE"/>
    <w:rsid w:val="00737A60"/>
    <w:rsid w:val="00740A96"/>
    <w:rsid w:val="00740D07"/>
    <w:rsid w:val="007427E7"/>
    <w:rsid w:val="007445A6"/>
    <w:rsid w:val="00745682"/>
    <w:rsid w:val="00746729"/>
    <w:rsid w:val="00746C1D"/>
    <w:rsid w:val="007472FC"/>
    <w:rsid w:val="00747505"/>
    <w:rsid w:val="007505A5"/>
    <w:rsid w:val="0075079D"/>
    <w:rsid w:val="00751A05"/>
    <w:rsid w:val="00751FB2"/>
    <w:rsid w:val="00752042"/>
    <w:rsid w:val="00752953"/>
    <w:rsid w:val="00754062"/>
    <w:rsid w:val="00756690"/>
    <w:rsid w:val="0076146F"/>
    <w:rsid w:val="00762A8B"/>
    <w:rsid w:val="00764D3F"/>
    <w:rsid w:val="0076512B"/>
    <w:rsid w:val="00766FF7"/>
    <w:rsid w:val="00770068"/>
    <w:rsid w:val="007706FB"/>
    <w:rsid w:val="007713DD"/>
    <w:rsid w:val="00772831"/>
    <w:rsid w:val="00772DAC"/>
    <w:rsid w:val="00773F3B"/>
    <w:rsid w:val="00774BB1"/>
    <w:rsid w:val="00774DAE"/>
    <w:rsid w:val="007761C5"/>
    <w:rsid w:val="00777BD0"/>
    <w:rsid w:val="007803BB"/>
    <w:rsid w:val="00780973"/>
    <w:rsid w:val="00780D76"/>
    <w:rsid w:val="00782087"/>
    <w:rsid w:val="00782BFE"/>
    <w:rsid w:val="00783051"/>
    <w:rsid w:val="00784738"/>
    <w:rsid w:val="007869A0"/>
    <w:rsid w:val="00786BCC"/>
    <w:rsid w:val="00786DC5"/>
    <w:rsid w:val="00787EE3"/>
    <w:rsid w:val="00797BD7"/>
    <w:rsid w:val="007A0B6A"/>
    <w:rsid w:val="007A11ED"/>
    <w:rsid w:val="007A363D"/>
    <w:rsid w:val="007A3C03"/>
    <w:rsid w:val="007A6153"/>
    <w:rsid w:val="007B06F9"/>
    <w:rsid w:val="007B11FD"/>
    <w:rsid w:val="007B2505"/>
    <w:rsid w:val="007B3ABA"/>
    <w:rsid w:val="007B3DE4"/>
    <w:rsid w:val="007B6BA6"/>
    <w:rsid w:val="007C1C0E"/>
    <w:rsid w:val="007C2B30"/>
    <w:rsid w:val="007C4CC4"/>
    <w:rsid w:val="007C52F1"/>
    <w:rsid w:val="007C7007"/>
    <w:rsid w:val="007C78AE"/>
    <w:rsid w:val="007C7DC5"/>
    <w:rsid w:val="007D0026"/>
    <w:rsid w:val="007D01D6"/>
    <w:rsid w:val="007D1D14"/>
    <w:rsid w:val="007D1EC1"/>
    <w:rsid w:val="007D20B5"/>
    <w:rsid w:val="007D212A"/>
    <w:rsid w:val="007D2B0A"/>
    <w:rsid w:val="007D5593"/>
    <w:rsid w:val="007E3BE9"/>
    <w:rsid w:val="007E432A"/>
    <w:rsid w:val="007E52C0"/>
    <w:rsid w:val="007E5BFD"/>
    <w:rsid w:val="007F00A2"/>
    <w:rsid w:val="007F061C"/>
    <w:rsid w:val="007F0786"/>
    <w:rsid w:val="007F1AC5"/>
    <w:rsid w:val="007F1C79"/>
    <w:rsid w:val="007F4544"/>
    <w:rsid w:val="007F5F76"/>
    <w:rsid w:val="007F6BE3"/>
    <w:rsid w:val="00800070"/>
    <w:rsid w:val="00800C22"/>
    <w:rsid w:val="0080258E"/>
    <w:rsid w:val="00802D60"/>
    <w:rsid w:val="00802ECB"/>
    <w:rsid w:val="0080601C"/>
    <w:rsid w:val="00811AC5"/>
    <w:rsid w:val="00811B83"/>
    <w:rsid w:val="00812AAC"/>
    <w:rsid w:val="00813680"/>
    <w:rsid w:val="00814AC6"/>
    <w:rsid w:val="00815402"/>
    <w:rsid w:val="008156D3"/>
    <w:rsid w:val="00815E85"/>
    <w:rsid w:val="00817007"/>
    <w:rsid w:val="00817564"/>
    <w:rsid w:val="008175E7"/>
    <w:rsid w:val="008200E0"/>
    <w:rsid w:val="00820C15"/>
    <w:rsid w:val="00822618"/>
    <w:rsid w:val="00823416"/>
    <w:rsid w:val="00823FE8"/>
    <w:rsid w:val="0082524F"/>
    <w:rsid w:val="00826246"/>
    <w:rsid w:val="008268D9"/>
    <w:rsid w:val="008279CF"/>
    <w:rsid w:val="00832CC2"/>
    <w:rsid w:val="008341C6"/>
    <w:rsid w:val="00834335"/>
    <w:rsid w:val="008353D8"/>
    <w:rsid w:val="00835D45"/>
    <w:rsid w:val="00837F51"/>
    <w:rsid w:val="008409C3"/>
    <w:rsid w:val="008414FC"/>
    <w:rsid w:val="00842B0A"/>
    <w:rsid w:val="00843068"/>
    <w:rsid w:val="00843273"/>
    <w:rsid w:val="00847A74"/>
    <w:rsid w:val="008500E6"/>
    <w:rsid w:val="008516F4"/>
    <w:rsid w:val="0085208F"/>
    <w:rsid w:val="008536EA"/>
    <w:rsid w:val="0085452B"/>
    <w:rsid w:val="00855998"/>
    <w:rsid w:val="008565DC"/>
    <w:rsid w:val="00857A12"/>
    <w:rsid w:val="00857A4D"/>
    <w:rsid w:val="00860901"/>
    <w:rsid w:val="00860F8F"/>
    <w:rsid w:val="00861259"/>
    <w:rsid w:val="008615B3"/>
    <w:rsid w:val="00861C07"/>
    <w:rsid w:val="00862003"/>
    <w:rsid w:val="00862271"/>
    <w:rsid w:val="00864872"/>
    <w:rsid w:val="008674DE"/>
    <w:rsid w:val="0086792A"/>
    <w:rsid w:val="00867B23"/>
    <w:rsid w:val="00873A7A"/>
    <w:rsid w:val="008744C1"/>
    <w:rsid w:val="00874E3A"/>
    <w:rsid w:val="008763CE"/>
    <w:rsid w:val="00876EF2"/>
    <w:rsid w:val="00877377"/>
    <w:rsid w:val="0087775F"/>
    <w:rsid w:val="00877DF5"/>
    <w:rsid w:val="00877DFC"/>
    <w:rsid w:val="0088000D"/>
    <w:rsid w:val="008818E7"/>
    <w:rsid w:val="00882086"/>
    <w:rsid w:val="00882517"/>
    <w:rsid w:val="00882CF7"/>
    <w:rsid w:val="008861A6"/>
    <w:rsid w:val="0088623B"/>
    <w:rsid w:val="008868BE"/>
    <w:rsid w:val="00886CB2"/>
    <w:rsid w:val="00887E72"/>
    <w:rsid w:val="00890692"/>
    <w:rsid w:val="008919A3"/>
    <w:rsid w:val="00893238"/>
    <w:rsid w:val="00895CD3"/>
    <w:rsid w:val="008A1678"/>
    <w:rsid w:val="008A1C68"/>
    <w:rsid w:val="008A2622"/>
    <w:rsid w:val="008A4AED"/>
    <w:rsid w:val="008A5E99"/>
    <w:rsid w:val="008A7AC8"/>
    <w:rsid w:val="008B0AD8"/>
    <w:rsid w:val="008B14F7"/>
    <w:rsid w:val="008B2AFD"/>
    <w:rsid w:val="008B4AA9"/>
    <w:rsid w:val="008B69E4"/>
    <w:rsid w:val="008B6A1F"/>
    <w:rsid w:val="008B7492"/>
    <w:rsid w:val="008C2E89"/>
    <w:rsid w:val="008C3FF0"/>
    <w:rsid w:val="008C4BE1"/>
    <w:rsid w:val="008C598B"/>
    <w:rsid w:val="008C5A1E"/>
    <w:rsid w:val="008C7219"/>
    <w:rsid w:val="008D0511"/>
    <w:rsid w:val="008D322F"/>
    <w:rsid w:val="008D346B"/>
    <w:rsid w:val="008D4544"/>
    <w:rsid w:val="008D481E"/>
    <w:rsid w:val="008D567B"/>
    <w:rsid w:val="008D5C64"/>
    <w:rsid w:val="008D68A7"/>
    <w:rsid w:val="008D7674"/>
    <w:rsid w:val="008E01F2"/>
    <w:rsid w:val="008E0A43"/>
    <w:rsid w:val="008E1ACD"/>
    <w:rsid w:val="008E63B5"/>
    <w:rsid w:val="008E65F9"/>
    <w:rsid w:val="008F2004"/>
    <w:rsid w:val="008F2F8E"/>
    <w:rsid w:val="008F6C1E"/>
    <w:rsid w:val="008F78D3"/>
    <w:rsid w:val="008F7DA0"/>
    <w:rsid w:val="0090546D"/>
    <w:rsid w:val="00905AB3"/>
    <w:rsid w:val="009063ED"/>
    <w:rsid w:val="00906D14"/>
    <w:rsid w:val="00907CD2"/>
    <w:rsid w:val="009122EC"/>
    <w:rsid w:val="00913A21"/>
    <w:rsid w:val="0091512C"/>
    <w:rsid w:val="009168D8"/>
    <w:rsid w:val="00917CB6"/>
    <w:rsid w:val="0092029A"/>
    <w:rsid w:val="009242CA"/>
    <w:rsid w:val="00924852"/>
    <w:rsid w:val="009262C5"/>
    <w:rsid w:val="00926991"/>
    <w:rsid w:val="00927838"/>
    <w:rsid w:val="00927984"/>
    <w:rsid w:val="00930472"/>
    <w:rsid w:val="0093137A"/>
    <w:rsid w:val="00931E7E"/>
    <w:rsid w:val="00931E99"/>
    <w:rsid w:val="00932D9A"/>
    <w:rsid w:val="009330E1"/>
    <w:rsid w:val="00933AC0"/>
    <w:rsid w:val="00935D95"/>
    <w:rsid w:val="00936472"/>
    <w:rsid w:val="0093659B"/>
    <w:rsid w:val="009368DD"/>
    <w:rsid w:val="00940478"/>
    <w:rsid w:val="009413BE"/>
    <w:rsid w:val="00941508"/>
    <w:rsid w:val="00941F7F"/>
    <w:rsid w:val="00942395"/>
    <w:rsid w:val="009432AD"/>
    <w:rsid w:val="00943476"/>
    <w:rsid w:val="00943BB8"/>
    <w:rsid w:val="00944A6C"/>
    <w:rsid w:val="00946833"/>
    <w:rsid w:val="00946D6B"/>
    <w:rsid w:val="00947E69"/>
    <w:rsid w:val="009516FA"/>
    <w:rsid w:val="00952923"/>
    <w:rsid w:val="00954379"/>
    <w:rsid w:val="009543FA"/>
    <w:rsid w:val="0095475F"/>
    <w:rsid w:val="0095503D"/>
    <w:rsid w:val="00955C5B"/>
    <w:rsid w:val="00956A4F"/>
    <w:rsid w:val="00957730"/>
    <w:rsid w:val="0096235B"/>
    <w:rsid w:val="009636A9"/>
    <w:rsid w:val="00964ABE"/>
    <w:rsid w:val="00965258"/>
    <w:rsid w:val="0096526B"/>
    <w:rsid w:val="009654CB"/>
    <w:rsid w:val="009676DA"/>
    <w:rsid w:val="00967771"/>
    <w:rsid w:val="00970235"/>
    <w:rsid w:val="009744F7"/>
    <w:rsid w:val="009751C3"/>
    <w:rsid w:val="00977B7E"/>
    <w:rsid w:val="0098081B"/>
    <w:rsid w:val="009809CE"/>
    <w:rsid w:val="00982ED1"/>
    <w:rsid w:val="00984E8F"/>
    <w:rsid w:val="009906E2"/>
    <w:rsid w:val="00992C54"/>
    <w:rsid w:val="00993419"/>
    <w:rsid w:val="00994B0D"/>
    <w:rsid w:val="00996618"/>
    <w:rsid w:val="00996B5E"/>
    <w:rsid w:val="009972F1"/>
    <w:rsid w:val="00997CFC"/>
    <w:rsid w:val="009A032C"/>
    <w:rsid w:val="009A0912"/>
    <w:rsid w:val="009A0AF7"/>
    <w:rsid w:val="009A1740"/>
    <w:rsid w:val="009A2593"/>
    <w:rsid w:val="009A3457"/>
    <w:rsid w:val="009A3465"/>
    <w:rsid w:val="009A363D"/>
    <w:rsid w:val="009A4080"/>
    <w:rsid w:val="009A4332"/>
    <w:rsid w:val="009A5000"/>
    <w:rsid w:val="009A5F50"/>
    <w:rsid w:val="009A6B13"/>
    <w:rsid w:val="009A7399"/>
    <w:rsid w:val="009B3223"/>
    <w:rsid w:val="009B4570"/>
    <w:rsid w:val="009B46DA"/>
    <w:rsid w:val="009B48C6"/>
    <w:rsid w:val="009B5390"/>
    <w:rsid w:val="009B635D"/>
    <w:rsid w:val="009B663A"/>
    <w:rsid w:val="009B75D5"/>
    <w:rsid w:val="009C057C"/>
    <w:rsid w:val="009C1513"/>
    <w:rsid w:val="009C20E6"/>
    <w:rsid w:val="009C4856"/>
    <w:rsid w:val="009C6998"/>
    <w:rsid w:val="009D0832"/>
    <w:rsid w:val="009D1587"/>
    <w:rsid w:val="009D2196"/>
    <w:rsid w:val="009D4DDC"/>
    <w:rsid w:val="009D517F"/>
    <w:rsid w:val="009D5E03"/>
    <w:rsid w:val="009D5F74"/>
    <w:rsid w:val="009D62ED"/>
    <w:rsid w:val="009D6BE1"/>
    <w:rsid w:val="009D6F23"/>
    <w:rsid w:val="009D6F6C"/>
    <w:rsid w:val="009D7D0A"/>
    <w:rsid w:val="009E28D1"/>
    <w:rsid w:val="009E2E22"/>
    <w:rsid w:val="009E381B"/>
    <w:rsid w:val="009E51AC"/>
    <w:rsid w:val="009E5CB4"/>
    <w:rsid w:val="009F1422"/>
    <w:rsid w:val="009F47F9"/>
    <w:rsid w:val="009F52C0"/>
    <w:rsid w:val="009F5B76"/>
    <w:rsid w:val="009F75FD"/>
    <w:rsid w:val="00A01450"/>
    <w:rsid w:val="00A01B62"/>
    <w:rsid w:val="00A03B6F"/>
    <w:rsid w:val="00A052E1"/>
    <w:rsid w:val="00A06973"/>
    <w:rsid w:val="00A06E98"/>
    <w:rsid w:val="00A10E05"/>
    <w:rsid w:val="00A12451"/>
    <w:rsid w:val="00A1301D"/>
    <w:rsid w:val="00A1327D"/>
    <w:rsid w:val="00A13E11"/>
    <w:rsid w:val="00A15914"/>
    <w:rsid w:val="00A1593D"/>
    <w:rsid w:val="00A15F4A"/>
    <w:rsid w:val="00A16529"/>
    <w:rsid w:val="00A17C0F"/>
    <w:rsid w:val="00A200C9"/>
    <w:rsid w:val="00A239D8"/>
    <w:rsid w:val="00A23C45"/>
    <w:rsid w:val="00A23EDA"/>
    <w:rsid w:val="00A24768"/>
    <w:rsid w:val="00A24ADB"/>
    <w:rsid w:val="00A27857"/>
    <w:rsid w:val="00A300CB"/>
    <w:rsid w:val="00A30ADA"/>
    <w:rsid w:val="00A30B1D"/>
    <w:rsid w:val="00A32E84"/>
    <w:rsid w:val="00A335D8"/>
    <w:rsid w:val="00A358C9"/>
    <w:rsid w:val="00A36519"/>
    <w:rsid w:val="00A40AC8"/>
    <w:rsid w:val="00A42FB6"/>
    <w:rsid w:val="00A455F5"/>
    <w:rsid w:val="00A45F50"/>
    <w:rsid w:val="00A475A1"/>
    <w:rsid w:val="00A5064C"/>
    <w:rsid w:val="00A51C39"/>
    <w:rsid w:val="00A537A1"/>
    <w:rsid w:val="00A54169"/>
    <w:rsid w:val="00A55159"/>
    <w:rsid w:val="00A6119C"/>
    <w:rsid w:val="00A62607"/>
    <w:rsid w:val="00A63597"/>
    <w:rsid w:val="00A646C1"/>
    <w:rsid w:val="00A66BEF"/>
    <w:rsid w:val="00A675B9"/>
    <w:rsid w:val="00A73804"/>
    <w:rsid w:val="00A75743"/>
    <w:rsid w:val="00A75C6E"/>
    <w:rsid w:val="00A75EB7"/>
    <w:rsid w:val="00A80AEB"/>
    <w:rsid w:val="00A81F12"/>
    <w:rsid w:val="00A81FA3"/>
    <w:rsid w:val="00A82578"/>
    <w:rsid w:val="00A826D3"/>
    <w:rsid w:val="00A83389"/>
    <w:rsid w:val="00A84014"/>
    <w:rsid w:val="00A867F4"/>
    <w:rsid w:val="00AA0C7B"/>
    <w:rsid w:val="00AA12EF"/>
    <w:rsid w:val="00AA203B"/>
    <w:rsid w:val="00AA43FC"/>
    <w:rsid w:val="00AA48E2"/>
    <w:rsid w:val="00AA5C93"/>
    <w:rsid w:val="00AA620B"/>
    <w:rsid w:val="00AA65C5"/>
    <w:rsid w:val="00AA71D5"/>
    <w:rsid w:val="00AB0C26"/>
    <w:rsid w:val="00AB1162"/>
    <w:rsid w:val="00AB17A8"/>
    <w:rsid w:val="00AB1E35"/>
    <w:rsid w:val="00AB28B3"/>
    <w:rsid w:val="00AB2D5B"/>
    <w:rsid w:val="00AB2F61"/>
    <w:rsid w:val="00AB344D"/>
    <w:rsid w:val="00AB5BCD"/>
    <w:rsid w:val="00AB79B6"/>
    <w:rsid w:val="00AC022D"/>
    <w:rsid w:val="00AC1021"/>
    <w:rsid w:val="00AC1534"/>
    <w:rsid w:val="00AC16C6"/>
    <w:rsid w:val="00AC3281"/>
    <w:rsid w:val="00AC373D"/>
    <w:rsid w:val="00AC472F"/>
    <w:rsid w:val="00AC4A04"/>
    <w:rsid w:val="00AD3937"/>
    <w:rsid w:val="00AD4AD8"/>
    <w:rsid w:val="00AD5D68"/>
    <w:rsid w:val="00AD7EE7"/>
    <w:rsid w:val="00AE00FC"/>
    <w:rsid w:val="00AE0D91"/>
    <w:rsid w:val="00AE0FBC"/>
    <w:rsid w:val="00AE13FB"/>
    <w:rsid w:val="00AE1D7A"/>
    <w:rsid w:val="00AE6EA4"/>
    <w:rsid w:val="00AE732C"/>
    <w:rsid w:val="00AF00AF"/>
    <w:rsid w:val="00AF01FD"/>
    <w:rsid w:val="00AF2740"/>
    <w:rsid w:val="00AF31DA"/>
    <w:rsid w:val="00AF5FD6"/>
    <w:rsid w:val="00AF6C0F"/>
    <w:rsid w:val="00AF77B7"/>
    <w:rsid w:val="00AF7FEF"/>
    <w:rsid w:val="00B00977"/>
    <w:rsid w:val="00B01830"/>
    <w:rsid w:val="00B0208C"/>
    <w:rsid w:val="00B02B7C"/>
    <w:rsid w:val="00B02E3A"/>
    <w:rsid w:val="00B040CC"/>
    <w:rsid w:val="00B06CD9"/>
    <w:rsid w:val="00B071BF"/>
    <w:rsid w:val="00B11706"/>
    <w:rsid w:val="00B13E6B"/>
    <w:rsid w:val="00B14644"/>
    <w:rsid w:val="00B146AC"/>
    <w:rsid w:val="00B159AF"/>
    <w:rsid w:val="00B161E1"/>
    <w:rsid w:val="00B166E9"/>
    <w:rsid w:val="00B17486"/>
    <w:rsid w:val="00B1796A"/>
    <w:rsid w:val="00B21667"/>
    <w:rsid w:val="00B236F2"/>
    <w:rsid w:val="00B255F6"/>
    <w:rsid w:val="00B25AFB"/>
    <w:rsid w:val="00B262F0"/>
    <w:rsid w:val="00B26E1A"/>
    <w:rsid w:val="00B26E69"/>
    <w:rsid w:val="00B27F74"/>
    <w:rsid w:val="00B301E2"/>
    <w:rsid w:val="00B3243A"/>
    <w:rsid w:val="00B342C2"/>
    <w:rsid w:val="00B350B9"/>
    <w:rsid w:val="00B35F31"/>
    <w:rsid w:val="00B3614A"/>
    <w:rsid w:val="00B361AC"/>
    <w:rsid w:val="00B36D63"/>
    <w:rsid w:val="00B378AD"/>
    <w:rsid w:val="00B401A7"/>
    <w:rsid w:val="00B41D73"/>
    <w:rsid w:val="00B4475D"/>
    <w:rsid w:val="00B4477E"/>
    <w:rsid w:val="00B44F7D"/>
    <w:rsid w:val="00B46062"/>
    <w:rsid w:val="00B46E1A"/>
    <w:rsid w:val="00B470A6"/>
    <w:rsid w:val="00B502F5"/>
    <w:rsid w:val="00B5040F"/>
    <w:rsid w:val="00B505D5"/>
    <w:rsid w:val="00B50656"/>
    <w:rsid w:val="00B50CC9"/>
    <w:rsid w:val="00B52299"/>
    <w:rsid w:val="00B52432"/>
    <w:rsid w:val="00B52883"/>
    <w:rsid w:val="00B52C8E"/>
    <w:rsid w:val="00B52DDA"/>
    <w:rsid w:val="00B542ED"/>
    <w:rsid w:val="00B55BC5"/>
    <w:rsid w:val="00B56CD9"/>
    <w:rsid w:val="00B60176"/>
    <w:rsid w:val="00B60C0B"/>
    <w:rsid w:val="00B61203"/>
    <w:rsid w:val="00B6142A"/>
    <w:rsid w:val="00B626E0"/>
    <w:rsid w:val="00B6438E"/>
    <w:rsid w:val="00B64C89"/>
    <w:rsid w:val="00B66520"/>
    <w:rsid w:val="00B67C91"/>
    <w:rsid w:val="00B705FA"/>
    <w:rsid w:val="00B70661"/>
    <w:rsid w:val="00B7317F"/>
    <w:rsid w:val="00B73D6D"/>
    <w:rsid w:val="00B74EEB"/>
    <w:rsid w:val="00B75F61"/>
    <w:rsid w:val="00B7667A"/>
    <w:rsid w:val="00B76F43"/>
    <w:rsid w:val="00B77387"/>
    <w:rsid w:val="00B77863"/>
    <w:rsid w:val="00B778A9"/>
    <w:rsid w:val="00B8049C"/>
    <w:rsid w:val="00B81D87"/>
    <w:rsid w:val="00B8453F"/>
    <w:rsid w:val="00B862B4"/>
    <w:rsid w:val="00B87292"/>
    <w:rsid w:val="00B900D0"/>
    <w:rsid w:val="00B9048A"/>
    <w:rsid w:val="00B905F6"/>
    <w:rsid w:val="00B906FD"/>
    <w:rsid w:val="00B92442"/>
    <w:rsid w:val="00B9475E"/>
    <w:rsid w:val="00B9595C"/>
    <w:rsid w:val="00B96AE9"/>
    <w:rsid w:val="00BA08DA"/>
    <w:rsid w:val="00BA126F"/>
    <w:rsid w:val="00BA2433"/>
    <w:rsid w:val="00BA3C85"/>
    <w:rsid w:val="00BA3FCA"/>
    <w:rsid w:val="00BA4D45"/>
    <w:rsid w:val="00BA7E87"/>
    <w:rsid w:val="00BB019C"/>
    <w:rsid w:val="00BB090A"/>
    <w:rsid w:val="00BB1613"/>
    <w:rsid w:val="00BB3489"/>
    <w:rsid w:val="00BB51BD"/>
    <w:rsid w:val="00BB5767"/>
    <w:rsid w:val="00BC011A"/>
    <w:rsid w:val="00BC0BFC"/>
    <w:rsid w:val="00BC16B7"/>
    <w:rsid w:val="00BC16E7"/>
    <w:rsid w:val="00BC2E0B"/>
    <w:rsid w:val="00BC2EFA"/>
    <w:rsid w:val="00BC4BAB"/>
    <w:rsid w:val="00BC6938"/>
    <w:rsid w:val="00BD0485"/>
    <w:rsid w:val="00BD11C5"/>
    <w:rsid w:val="00BD1A72"/>
    <w:rsid w:val="00BD25DB"/>
    <w:rsid w:val="00BD2620"/>
    <w:rsid w:val="00BD560A"/>
    <w:rsid w:val="00BD664D"/>
    <w:rsid w:val="00BE0504"/>
    <w:rsid w:val="00BE084B"/>
    <w:rsid w:val="00BE1149"/>
    <w:rsid w:val="00BE20A1"/>
    <w:rsid w:val="00BE219C"/>
    <w:rsid w:val="00BE44AF"/>
    <w:rsid w:val="00BE473B"/>
    <w:rsid w:val="00BE5AE8"/>
    <w:rsid w:val="00BE6AA7"/>
    <w:rsid w:val="00BE77EA"/>
    <w:rsid w:val="00BF0772"/>
    <w:rsid w:val="00BF16A1"/>
    <w:rsid w:val="00BF19A4"/>
    <w:rsid w:val="00BF3414"/>
    <w:rsid w:val="00BF42A8"/>
    <w:rsid w:val="00BF47A5"/>
    <w:rsid w:val="00BF6217"/>
    <w:rsid w:val="00BF6DF9"/>
    <w:rsid w:val="00BF7C34"/>
    <w:rsid w:val="00C00C99"/>
    <w:rsid w:val="00C0122D"/>
    <w:rsid w:val="00C01FFE"/>
    <w:rsid w:val="00C02D88"/>
    <w:rsid w:val="00C02EF4"/>
    <w:rsid w:val="00C0312C"/>
    <w:rsid w:val="00C03203"/>
    <w:rsid w:val="00C03300"/>
    <w:rsid w:val="00C05AB7"/>
    <w:rsid w:val="00C05D3D"/>
    <w:rsid w:val="00C0766E"/>
    <w:rsid w:val="00C100EC"/>
    <w:rsid w:val="00C103F2"/>
    <w:rsid w:val="00C109AC"/>
    <w:rsid w:val="00C12EA4"/>
    <w:rsid w:val="00C138CD"/>
    <w:rsid w:val="00C1475E"/>
    <w:rsid w:val="00C16B7B"/>
    <w:rsid w:val="00C220C7"/>
    <w:rsid w:val="00C247DB"/>
    <w:rsid w:val="00C2670D"/>
    <w:rsid w:val="00C27713"/>
    <w:rsid w:val="00C27813"/>
    <w:rsid w:val="00C31318"/>
    <w:rsid w:val="00C3200D"/>
    <w:rsid w:val="00C34A8B"/>
    <w:rsid w:val="00C35FA9"/>
    <w:rsid w:val="00C36A0C"/>
    <w:rsid w:val="00C4042E"/>
    <w:rsid w:val="00C40D3D"/>
    <w:rsid w:val="00C41120"/>
    <w:rsid w:val="00C412B7"/>
    <w:rsid w:val="00C41358"/>
    <w:rsid w:val="00C428CB"/>
    <w:rsid w:val="00C428E1"/>
    <w:rsid w:val="00C45947"/>
    <w:rsid w:val="00C5050B"/>
    <w:rsid w:val="00C5133E"/>
    <w:rsid w:val="00C54231"/>
    <w:rsid w:val="00C54553"/>
    <w:rsid w:val="00C5492B"/>
    <w:rsid w:val="00C561F1"/>
    <w:rsid w:val="00C573DE"/>
    <w:rsid w:val="00C57BD3"/>
    <w:rsid w:val="00C60638"/>
    <w:rsid w:val="00C61934"/>
    <w:rsid w:val="00C643BA"/>
    <w:rsid w:val="00C64CEE"/>
    <w:rsid w:val="00C65389"/>
    <w:rsid w:val="00C6584F"/>
    <w:rsid w:val="00C70130"/>
    <w:rsid w:val="00C736B2"/>
    <w:rsid w:val="00C746B1"/>
    <w:rsid w:val="00C74C37"/>
    <w:rsid w:val="00C77AA4"/>
    <w:rsid w:val="00C77C73"/>
    <w:rsid w:val="00C80913"/>
    <w:rsid w:val="00C84CC0"/>
    <w:rsid w:val="00C860D5"/>
    <w:rsid w:val="00C866EF"/>
    <w:rsid w:val="00C874C8"/>
    <w:rsid w:val="00C94AD9"/>
    <w:rsid w:val="00C968B0"/>
    <w:rsid w:val="00C96970"/>
    <w:rsid w:val="00C97C42"/>
    <w:rsid w:val="00CA1A10"/>
    <w:rsid w:val="00CA1A78"/>
    <w:rsid w:val="00CA39AD"/>
    <w:rsid w:val="00CA40D1"/>
    <w:rsid w:val="00CA4959"/>
    <w:rsid w:val="00CA5E84"/>
    <w:rsid w:val="00CA6B8A"/>
    <w:rsid w:val="00CB34ED"/>
    <w:rsid w:val="00CB35FB"/>
    <w:rsid w:val="00CB3B75"/>
    <w:rsid w:val="00CB50A8"/>
    <w:rsid w:val="00CB7D29"/>
    <w:rsid w:val="00CC04BE"/>
    <w:rsid w:val="00CC4378"/>
    <w:rsid w:val="00CC626E"/>
    <w:rsid w:val="00CC6300"/>
    <w:rsid w:val="00CC6389"/>
    <w:rsid w:val="00CD0A99"/>
    <w:rsid w:val="00CD1000"/>
    <w:rsid w:val="00CD25FB"/>
    <w:rsid w:val="00CD312C"/>
    <w:rsid w:val="00CD32FB"/>
    <w:rsid w:val="00CD4007"/>
    <w:rsid w:val="00CD40D1"/>
    <w:rsid w:val="00CD5AEF"/>
    <w:rsid w:val="00CD78D8"/>
    <w:rsid w:val="00CE1341"/>
    <w:rsid w:val="00CE169E"/>
    <w:rsid w:val="00CE1C0D"/>
    <w:rsid w:val="00CE2878"/>
    <w:rsid w:val="00CE3350"/>
    <w:rsid w:val="00CF0040"/>
    <w:rsid w:val="00CF150B"/>
    <w:rsid w:val="00CF2684"/>
    <w:rsid w:val="00CF4C04"/>
    <w:rsid w:val="00CF5F3B"/>
    <w:rsid w:val="00CF62AD"/>
    <w:rsid w:val="00D05534"/>
    <w:rsid w:val="00D06458"/>
    <w:rsid w:val="00D10805"/>
    <w:rsid w:val="00D10A1D"/>
    <w:rsid w:val="00D1107A"/>
    <w:rsid w:val="00D11F01"/>
    <w:rsid w:val="00D132D6"/>
    <w:rsid w:val="00D13883"/>
    <w:rsid w:val="00D164F7"/>
    <w:rsid w:val="00D17396"/>
    <w:rsid w:val="00D17A2E"/>
    <w:rsid w:val="00D21189"/>
    <w:rsid w:val="00D21693"/>
    <w:rsid w:val="00D21FCE"/>
    <w:rsid w:val="00D23248"/>
    <w:rsid w:val="00D23955"/>
    <w:rsid w:val="00D23A00"/>
    <w:rsid w:val="00D23F2A"/>
    <w:rsid w:val="00D2481B"/>
    <w:rsid w:val="00D31544"/>
    <w:rsid w:val="00D31574"/>
    <w:rsid w:val="00D35F61"/>
    <w:rsid w:val="00D36518"/>
    <w:rsid w:val="00D36D10"/>
    <w:rsid w:val="00D41D07"/>
    <w:rsid w:val="00D4297D"/>
    <w:rsid w:val="00D47A29"/>
    <w:rsid w:val="00D47A6C"/>
    <w:rsid w:val="00D51485"/>
    <w:rsid w:val="00D518B2"/>
    <w:rsid w:val="00D52744"/>
    <w:rsid w:val="00D528ED"/>
    <w:rsid w:val="00D55111"/>
    <w:rsid w:val="00D55AAF"/>
    <w:rsid w:val="00D56991"/>
    <w:rsid w:val="00D57ACA"/>
    <w:rsid w:val="00D57C10"/>
    <w:rsid w:val="00D57E51"/>
    <w:rsid w:val="00D57F70"/>
    <w:rsid w:val="00D57FEF"/>
    <w:rsid w:val="00D60DD8"/>
    <w:rsid w:val="00D62174"/>
    <w:rsid w:val="00D62289"/>
    <w:rsid w:val="00D626CF"/>
    <w:rsid w:val="00D6305F"/>
    <w:rsid w:val="00D63158"/>
    <w:rsid w:val="00D64C05"/>
    <w:rsid w:val="00D65380"/>
    <w:rsid w:val="00D65D5C"/>
    <w:rsid w:val="00D65D80"/>
    <w:rsid w:val="00D665E8"/>
    <w:rsid w:val="00D71181"/>
    <w:rsid w:val="00D724FC"/>
    <w:rsid w:val="00D73147"/>
    <w:rsid w:val="00D7493B"/>
    <w:rsid w:val="00D74F08"/>
    <w:rsid w:val="00D75D7A"/>
    <w:rsid w:val="00D75E06"/>
    <w:rsid w:val="00D80470"/>
    <w:rsid w:val="00D82222"/>
    <w:rsid w:val="00D8256B"/>
    <w:rsid w:val="00D830D7"/>
    <w:rsid w:val="00D83238"/>
    <w:rsid w:val="00D8333B"/>
    <w:rsid w:val="00D83684"/>
    <w:rsid w:val="00D84D87"/>
    <w:rsid w:val="00D857A6"/>
    <w:rsid w:val="00D85F0A"/>
    <w:rsid w:val="00D86060"/>
    <w:rsid w:val="00D861EA"/>
    <w:rsid w:val="00D86654"/>
    <w:rsid w:val="00D9140E"/>
    <w:rsid w:val="00D9207D"/>
    <w:rsid w:val="00D921C1"/>
    <w:rsid w:val="00D921F8"/>
    <w:rsid w:val="00D93243"/>
    <w:rsid w:val="00D935AA"/>
    <w:rsid w:val="00D94EF6"/>
    <w:rsid w:val="00D950F7"/>
    <w:rsid w:val="00D95BAA"/>
    <w:rsid w:val="00D963B4"/>
    <w:rsid w:val="00D97D86"/>
    <w:rsid w:val="00DA27A3"/>
    <w:rsid w:val="00DA5668"/>
    <w:rsid w:val="00DA5E0A"/>
    <w:rsid w:val="00DA6426"/>
    <w:rsid w:val="00DA70DE"/>
    <w:rsid w:val="00DA7206"/>
    <w:rsid w:val="00DA7928"/>
    <w:rsid w:val="00DA7BE2"/>
    <w:rsid w:val="00DB1729"/>
    <w:rsid w:val="00DB22CF"/>
    <w:rsid w:val="00DB4158"/>
    <w:rsid w:val="00DB712A"/>
    <w:rsid w:val="00DB7859"/>
    <w:rsid w:val="00DC0153"/>
    <w:rsid w:val="00DC2FD1"/>
    <w:rsid w:val="00DC39A2"/>
    <w:rsid w:val="00DC6F99"/>
    <w:rsid w:val="00DC7049"/>
    <w:rsid w:val="00DC75F0"/>
    <w:rsid w:val="00DD1985"/>
    <w:rsid w:val="00DD23BF"/>
    <w:rsid w:val="00DD4EEC"/>
    <w:rsid w:val="00DD533E"/>
    <w:rsid w:val="00DD558D"/>
    <w:rsid w:val="00DD6D12"/>
    <w:rsid w:val="00DE239C"/>
    <w:rsid w:val="00DE55CD"/>
    <w:rsid w:val="00DE560F"/>
    <w:rsid w:val="00DE567E"/>
    <w:rsid w:val="00DE5E3F"/>
    <w:rsid w:val="00DE5FA3"/>
    <w:rsid w:val="00DE6963"/>
    <w:rsid w:val="00DF03EF"/>
    <w:rsid w:val="00DF076A"/>
    <w:rsid w:val="00DF0781"/>
    <w:rsid w:val="00DF18EF"/>
    <w:rsid w:val="00DF2C34"/>
    <w:rsid w:val="00DF2C7E"/>
    <w:rsid w:val="00DF3105"/>
    <w:rsid w:val="00DF5608"/>
    <w:rsid w:val="00DF5B18"/>
    <w:rsid w:val="00E002ED"/>
    <w:rsid w:val="00E024B1"/>
    <w:rsid w:val="00E042F3"/>
    <w:rsid w:val="00E05371"/>
    <w:rsid w:val="00E06040"/>
    <w:rsid w:val="00E06AA0"/>
    <w:rsid w:val="00E07190"/>
    <w:rsid w:val="00E10419"/>
    <w:rsid w:val="00E10723"/>
    <w:rsid w:val="00E112E8"/>
    <w:rsid w:val="00E11510"/>
    <w:rsid w:val="00E12FF8"/>
    <w:rsid w:val="00E14041"/>
    <w:rsid w:val="00E14083"/>
    <w:rsid w:val="00E148BD"/>
    <w:rsid w:val="00E151A5"/>
    <w:rsid w:val="00E16E69"/>
    <w:rsid w:val="00E17825"/>
    <w:rsid w:val="00E224A1"/>
    <w:rsid w:val="00E22F5C"/>
    <w:rsid w:val="00E2382F"/>
    <w:rsid w:val="00E240B2"/>
    <w:rsid w:val="00E25AD9"/>
    <w:rsid w:val="00E265AC"/>
    <w:rsid w:val="00E30457"/>
    <w:rsid w:val="00E30D53"/>
    <w:rsid w:val="00E31052"/>
    <w:rsid w:val="00E31294"/>
    <w:rsid w:val="00E3446A"/>
    <w:rsid w:val="00E34B49"/>
    <w:rsid w:val="00E37EF8"/>
    <w:rsid w:val="00E40622"/>
    <w:rsid w:val="00E4076A"/>
    <w:rsid w:val="00E41477"/>
    <w:rsid w:val="00E42579"/>
    <w:rsid w:val="00E453B3"/>
    <w:rsid w:val="00E45400"/>
    <w:rsid w:val="00E46A79"/>
    <w:rsid w:val="00E46BFF"/>
    <w:rsid w:val="00E473B0"/>
    <w:rsid w:val="00E50AE6"/>
    <w:rsid w:val="00E5540D"/>
    <w:rsid w:val="00E6019F"/>
    <w:rsid w:val="00E60619"/>
    <w:rsid w:val="00E61A5D"/>
    <w:rsid w:val="00E62D1C"/>
    <w:rsid w:val="00E633AD"/>
    <w:rsid w:val="00E67574"/>
    <w:rsid w:val="00E702D8"/>
    <w:rsid w:val="00E73143"/>
    <w:rsid w:val="00E735D7"/>
    <w:rsid w:val="00E738DB"/>
    <w:rsid w:val="00E75F15"/>
    <w:rsid w:val="00E7711D"/>
    <w:rsid w:val="00E77347"/>
    <w:rsid w:val="00E77DC4"/>
    <w:rsid w:val="00E803BE"/>
    <w:rsid w:val="00E81CD5"/>
    <w:rsid w:val="00E82040"/>
    <w:rsid w:val="00E832D8"/>
    <w:rsid w:val="00E8410A"/>
    <w:rsid w:val="00E86BEB"/>
    <w:rsid w:val="00E87815"/>
    <w:rsid w:val="00E9002A"/>
    <w:rsid w:val="00E90860"/>
    <w:rsid w:val="00E9128B"/>
    <w:rsid w:val="00E916E3"/>
    <w:rsid w:val="00E91DD1"/>
    <w:rsid w:val="00E92837"/>
    <w:rsid w:val="00E9464E"/>
    <w:rsid w:val="00E95507"/>
    <w:rsid w:val="00E9720E"/>
    <w:rsid w:val="00E97C09"/>
    <w:rsid w:val="00EA2571"/>
    <w:rsid w:val="00EA2844"/>
    <w:rsid w:val="00EA3F63"/>
    <w:rsid w:val="00EA5037"/>
    <w:rsid w:val="00EA550F"/>
    <w:rsid w:val="00EA59D3"/>
    <w:rsid w:val="00EA5D9A"/>
    <w:rsid w:val="00EA5DB8"/>
    <w:rsid w:val="00EB1037"/>
    <w:rsid w:val="00EB22EF"/>
    <w:rsid w:val="00EB2612"/>
    <w:rsid w:val="00EB3479"/>
    <w:rsid w:val="00EB39FC"/>
    <w:rsid w:val="00EB3F6B"/>
    <w:rsid w:val="00EB4147"/>
    <w:rsid w:val="00EB4CAB"/>
    <w:rsid w:val="00EB60B8"/>
    <w:rsid w:val="00EB76AA"/>
    <w:rsid w:val="00EC0D05"/>
    <w:rsid w:val="00EC0FB6"/>
    <w:rsid w:val="00EC19C7"/>
    <w:rsid w:val="00ED0A97"/>
    <w:rsid w:val="00ED16A6"/>
    <w:rsid w:val="00ED20FD"/>
    <w:rsid w:val="00ED48A2"/>
    <w:rsid w:val="00ED4E44"/>
    <w:rsid w:val="00ED535F"/>
    <w:rsid w:val="00ED5CB8"/>
    <w:rsid w:val="00ED6012"/>
    <w:rsid w:val="00EE0508"/>
    <w:rsid w:val="00EE0F5A"/>
    <w:rsid w:val="00EE1D97"/>
    <w:rsid w:val="00EE462D"/>
    <w:rsid w:val="00EE53F5"/>
    <w:rsid w:val="00EE60D2"/>
    <w:rsid w:val="00EE7FB6"/>
    <w:rsid w:val="00EF0F8D"/>
    <w:rsid w:val="00EF10F5"/>
    <w:rsid w:val="00EF1DF1"/>
    <w:rsid w:val="00EF2CC7"/>
    <w:rsid w:val="00EF4800"/>
    <w:rsid w:val="00EF4D75"/>
    <w:rsid w:val="00F02962"/>
    <w:rsid w:val="00F049C0"/>
    <w:rsid w:val="00F04EC2"/>
    <w:rsid w:val="00F06F5F"/>
    <w:rsid w:val="00F1230C"/>
    <w:rsid w:val="00F12450"/>
    <w:rsid w:val="00F14FDE"/>
    <w:rsid w:val="00F15443"/>
    <w:rsid w:val="00F16D67"/>
    <w:rsid w:val="00F17335"/>
    <w:rsid w:val="00F17F22"/>
    <w:rsid w:val="00F2085A"/>
    <w:rsid w:val="00F20BF6"/>
    <w:rsid w:val="00F227D2"/>
    <w:rsid w:val="00F22DAD"/>
    <w:rsid w:val="00F26B33"/>
    <w:rsid w:val="00F27A32"/>
    <w:rsid w:val="00F301CF"/>
    <w:rsid w:val="00F31797"/>
    <w:rsid w:val="00F333EC"/>
    <w:rsid w:val="00F33762"/>
    <w:rsid w:val="00F350FF"/>
    <w:rsid w:val="00F37C08"/>
    <w:rsid w:val="00F37C31"/>
    <w:rsid w:val="00F400CF"/>
    <w:rsid w:val="00F40533"/>
    <w:rsid w:val="00F41AAA"/>
    <w:rsid w:val="00F443A1"/>
    <w:rsid w:val="00F44D45"/>
    <w:rsid w:val="00F45494"/>
    <w:rsid w:val="00F457CB"/>
    <w:rsid w:val="00F46794"/>
    <w:rsid w:val="00F46A55"/>
    <w:rsid w:val="00F4710F"/>
    <w:rsid w:val="00F500AB"/>
    <w:rsid w:val="00F51A40"/>
    <w:rsid w:val="00F52254"/>
    <w:rsid w:val="00F53556"/>
    <w:rsid w:val="00F539DE"/>
    <w:rsid w:val="00F53A0F"/>
    <w:rsid w:val="00F5439D"/>
    <w:rsid w:val="00F5552B"/>
    <w:rsid w:val="00F55855"/>
    <w:rsid w:val="00F62AAA"/>
    <w:rsid w:val="00F631C2"/>
    <w:rsid w:val="00F632F5"/>
    <w:rsid w:val="00F63787"/>
    <w:rsid w:val="00F6498F"/>
    <w:rsid w:val="00F64B5E"/>
    <w:rsid w:val="00F6550E"/>
    <w:rsid w:val="00F70137"/>
    <w:rsid w:val="00F71705"/>
    <w:rsid w:val="00F7324A"/>
    <w:rsid w:val="00F73A28"/>
    <w:rsid w:val="00F74246"/>
    <w:rsid w:val="00F756CD"/>
    <w:rsid w:val="00F75D9C"/>
    <w:rsid w:val="00F80620"/>
    <w:rsid w:val="00F820B4"/>
    <w:rsid w:val="00F835CF"/>
    <w:rsid w:val="00F84FF6"/>
    <w:rsid w:val="00F86B18"/>
    <w:rsid w:val="00F92B4D"/>
    <w:rsid w:val="00F93BCA"/>
    <w:rsid w:val="00F95D30"/>
    <w:rsid w:val="00FA061B"/>
    <w:rsid w:val="00FA0DA1"/>
    <w:rsid w:val="00FA1552"/>
    <w:rsid w:val="00FA217C"/>
    <w:rsid w:val="00FA3F30"/>
    <w:rsid w:val="00FA6BD2"/>
    <w:rsid w:val="00FA6F55"/>
    <w:rsid w:val="00FA77BE"/>
    <w:rsid w:val="00FB0327"/>
    <w:rsid w:val="00FB3673"/>
    <w:rsid w:val="00FB4978"/>
    <w:rsid w:val="00FB4A4B"/>
    <w:rsid w:val="00FB56BE"/>
    <w:rsid w:val="00FB6A39"/>
    <w:rsid w:val="00FB6DC7"/>
    <w:rsid w:val="00FB70E4"/>
    <w:rsid w:val="00FC0A4F"/>
    <w:rsid w:val="00FC23FC"/>
    <w:rsid w:val="00FC2844"/>
    <w:rsid w:val="00FC5C88"/>
    <w:rsid w:val="00FC6271"/>
    <w:rsid w:val="00FC62C9"/>
    <w:rsid w:val="00FC6630"/>
    <w:rsid w:val="00FD3A21"/>
    <w:rsid w:val="00FD4EB9"/>
    <w:rsid w:val="00FD6B23"/>
    <w:rsid w:val="00FE052A"/>
    <w:rsid w:val="00FE1133"/>
    <w:rsid w:val="00FE43EB"/>
    <w:rsid w:val="00FE4FA1"/>
    <w:rsid w:val="00FE68BC"/>
    <w:rsid w:val="00FE7C0C"/>
    <w:rsid w:val="00FF05A8"/>
    <w:rsid w:val="00FF182A"/>
    <w:rsid w:val="00FF2246"/>
    <w:rsid w:val="00FF40BD"/>
    <w:rsid w:val="00FF4FD3"/>
    <w:rsid w:val="00FF74B4"/>
    <w:rsid w:val="00FF758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1BE9C4"/>
  <w15:docId w15:val="{E0176362-D534-4DB2-BD9D-C83B89DC1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5AEF"/>
    <w:pPr>
      <w:spacing w:after="240" w:line="240" w:lineRule="auto"/>
    </w:pPr>
    <w:rPr>
      <w:rFonts w:ascii="Times New Roman" w:eastAsia="Times New Roman" w:hAnsi="Times New Roman" w:cs="Times New Roman"/>
      <w:color w:val="000000"/>
      <w:sz w:val="24"/>
      <w:szCs w:val="20"/>
      <w:lang w:val="en-AU" w:eastAsia="en-AU"/>
    </w:rPr>
  </w:style>
  <w:style w:type="paragraph" w:styleId="Heading1">
    <w:name w:val="heading 1"/>
    <w:basedOn w:val="Normal"/>
    <w:next w:val="Normal"/>
    <w:link w:val="Heading1Char"/>
    <w:qFormat/>
    <w:rsid w:val="00CD5AEF"/>
    <w:pPr>
      <w:keepNext/>
      <w:pageBreakBefore/>
      <w:spacing w:after="480"/>
      <w:ind w:left="720" w:hanging="720"/>
      <w:outlineLvl w:val="0"/>
    </w:pPr>
    <w:rPr>
      <w:rFonts w:cs="Arial"/>
      <w:b/>
      <w:bCs/>
      <w:kern w:val="32"/>
      <w:sz w:val="40"/>
      <w:szCs w:val="32"/>
    </w:rPr>
  </w:style>
  <w:style w:type="paragraph" w:styleId="Heading2">
    <w:name w:val="heading 2"/>
    <w:basedOn w:val="Normal"/>
    <w:next w:val="Normal"/>
    <w:link w:val="Heading2Char"/>
    <w:qFormat/>
    <w:rsid w:val="00CD5AEF"/>
    <w:pPr>
      <w:keepNext/>
      <w:spacing w:before="240"/>
      <w:ind w:left="720" w:hanging="720"/>
      <w:outlineLvl w:val="1"/>
    </w:pPr>
    <w:rPr>
      <w:rFonts w:cs="Arial"/>
      <w:b/>
      <w:bCs/>
      <w:iCs/>
      <w:sz w:val="28"/>
      <w:szCs w:val="28"/>
    </w:rPr>
  </w:style>
  <w:style w:type="paragraph" w:styleId="Heading3">
    <w:name w:val="heading 3"/>
    <w:basedOn w:val="Normal"/>
    <w:next w:val="Normal"/>
    <w:link w:val="Heading3Char"/>
    <w:qFormat/>
    <w:rsid w:val="00CD5AEF"/>
    <w:pPr>
      <w:keepNext/>
      <w:spacing w:before="240"/>
      <w:ind w:left="720" w:hanging="720"/>
      <w:outlineLvl w:val="2"/>
    </w:pPr>
    <w:rPr>
      <w:rFonts w:cs="Arial"/>
      <w:b/>
      <w:bCs/>
      <w:szCs w:val="26"/>
    </w:rPr>
  </w:style>
  <w:style w:type="paragraph" w:styleId="Heading4">
    <w:name w:val="heading 4"/>
    <w:basedOn w:val="Normal"/>
    <w:next w:val="Normal"/>
    <w:link w:val="Heading4Char"/>
    <w:rsid w:val="00CD5AEF"/>
    <w:pPr>
      <w:keepNext/>
      <w:spacing w:before="120" w:after="120"/>
      <w:outlineLvl w:val="3"/>
    </w:pPr>
    <w:rPr>
      <w:b/>
      <w:bCs/>
      <w:i/>
      <w:szCs w:val="28"/>
    </w:rPr>
  </w:style>
  <w:style w:type="paragraph" w:styleId="Heading5">
    <w:name w:val="heading 5"/>
    <w:basedOn w:val="Normal"/>
    <w:next w:val="Normal"/>
    <w:link w:val="Heading5Char"/>
    <w:rsid w:val="00CD5AEF"/>
    <w:pPr>
      <w:keepNext/>
      <w:spacing w:before="60" w:after="60"/>
      <w:outlineLvl w:val="4"/>
    </w:pPr>
    <w:rPr>
      <w:bCs/>
      <w:i/>
      <w:i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Recommendation,List Paragraph11,Bulletr List Paragraph,FooterText,L,List Paragraph2,List Paragraph21,Listeafsnit1,NFP GP Bulleted List,Paragraphe de liste1,Parágrafo da Lista1,Párrafo de lista1,numbered,リスト段落1,列出段落,列出段落1"/>
    <w:basedOn w:val="Normal"/>
    <w:link w:val="ListParagraphChar"/>
    <w:uiPriority w:val="1"/>
    <w:qFormat/>
    <w:rsid w:val="00AC3281"/>
    <w:pPr>
      <w:ind w:left="720"/>
      <w:contextualSpacing/>
    </w:pPr>
  </w:style>
  <w:style w:type="paragraph" w:customStyle="1" w:styleId="ScheduleL1">
    <w:name w:val="Schedule L1"/>
    <w:basedOn w:val="Normal"/>
    <w:next w:val="Normal"/>
    <w:rsid w:val="00CD312C"/>
    <w:pPr>
      <w:numPr>
        <w:numId w:val="1"/>
      </w:numPr>
      <w:pBdr>
        <w:bottom w:val="single" w:sz="4" w:space="1" w:color="auto"/>
      </w:pBdr>
      <w:tabs>
        <w:tab w:val="left" w:pos="2520"/>
      </w:tabs>
      <w:spacing w:before="140" w:after="480" w:line="480" w:lineRule="exact"/>
      <w:outlineLvl w:val="0"/>
    </w:pPr>
    <w:rPr>
      <w:rFonts w:ascii="Arial" w:hAnsi="Arial" w:cs="Arial"/>
      <w:spacing w:val="-10"/>
      <w:w w:val="95"/>
      <w:sz w:val="48"/>
      <w:szCs w:val="48"/>
    </w:rPr>
  </w:style>
  <w:style w:type="paragraph" w:customStyle="1" w:styleId="ScheduleL4">
    <w:name w:val="Schedule L4"/>
    <w:basedOn w:val="Normal"/>
    <w:next w:val="Normal"/>
    <w:rsid w:val="00CD312C"/>
    <w:pPr>
      <w:numPr>
        <w:ilvl w:val="3"/>
        <w:numId w:val="1"/>
      </w:numPr>
      <w:spacing w:before="240" w:after="120"/>
      <w:outlineLvl w:val="2"/>
    </w:pPr>
  </w:style>
  <w:style w:type="paragraph" w:customStyle="1" w:styleId="ScheduleL6">
    <w:name w:val="Schedule L6"/>
    <w:basedOn w:val="Normal"/>
    <w:next w:val="Normal"/>
    <w:rsid w:val="00CD312C"/>
    <w:pPr>
      <w:numPr>
        <w:ilvl w:val="4"/>
        <w:numId w:val="1"/>
      </w:numPr>
      <w:spacing w:after="140" w:line="280" w:lineRule="atLeast"/>
      <w:outlineLvl w:val="4"/>
    </w:pPr>
  </w:style>
  <w:style w:type="paragraph" w:customStyle="1" w:styleId="ScheduleL7">
    <w:name w:val="Schedule L7"/>
    <w:basedOn w:val="ScheduleL6"/>
    <w:next w:val="Normal"/>
    <w:rsid w:val="00CD312C"/>
    <w:pPr>
      <w:numPr>
        <w:ilvl w:val="5"/>
      </w:numPr>
    </w:pPr>
  </w:style>
  <w:style w:type="paragraph" w:customStyle="1" w:styleId="ScheduleL2">
    <w:name w:val="Schedule L2"/>
    <w:basedOn w:val="Normal"/>
    <w:rsid w:val="00CD312C"/>
    <w:pPr>
      <w:keepNext/>
      <w:numPr>
        <w:ilvl w:val="1"/>
        <w:numId w:val="1"/>
      </w:numPr>
      <w:spacing w:before="280" w:after="140" w:line="280" w:lineRule="atLeast"/>
      <w:outlineLvl w:val="1"/>
    </w:pPr>
    <w:rPr>
      <w:rFonts w:ascii="Arial" w:hAnsi="Arial" w:cs="Arial"/>
      <w:spacing w:val="-10"/>
      <w:w w:val="95"/>
      <w:sz w:val="32"/>
      <w:szCs w:val="32"/>
    </w:rPr>
  </w:style>
  <w:style w:type="paragraph" w:customStyle="1" w:styleId="ScheduleL3">
    <w:name w:val="Schedule L3"/>
    <w:basedOn w:val="Normal"/>
    <w:rsid w:val="00CD312C"/>
    <w:pPr>
      <w:numPr>
        <w:ilvl w:val="2"/>
        <w:numId w:val="1"/>
      </w:numPr>
      <w:spacing w:before="240" w:after="120"/>
    </w:pPr>
    <w:rPr>
      <w:rFonts w:ascii="Arial" w:hAnsi="Arial"/>
      <w:b/>
    </w:rPr>
  </w:style>
  <w:style w:type="character" w:styleId="CommentReference">
    <w:name w:val="annotation reference"/>
    <w:basedOn w:val="DefaultParagraphFont"/>
    <w:uiPriority w:val="99"/>
    <w:unhideWhenUsed/>
    <w:rsid w:val="0047394B"/>
    <w:rPr>
      <w:sz w:val="16"/>
      <w:szCs w:val="16"/>
    </w:rPr>
  </w:style>
  <w:style w:type="paragraph" w:styleId="CommentText">
    <w:name w:val="annotation text"/>
    <w:basedOn w:val="Normal"/>
    <w:link w:val="CommentTextChar"/>
    <w:uiPriority w:val="99"/>
    <w:unhideWhenUsed/>
    <w:rsid w:val="0047394B"/>
    <w:rPr>
      <w:sz w:val="20"/>
    </w:rPr>
  </w:style>
  <w:style w:type="character" w:customStyle="1" w:styleId="CommentTextChar">
    <w:name w:val="Comment Text Char"/>
    <w:basedOn w:val="DefaultParagraphFont"/>
    <w:link w:val="CommentText"/>
    <w:uiPriority w:val="99"/>
    <w:rsid w:val="0047394B"/>
    <w:rPr>
      <w:sz w:val="20"/>
      <w:szCs w:val="20"/>
    </w:rPr>
  </w:style>
  <w:style w:type="paragraph" w:styleId="CommentSubject">
    <w:name w:val="annotation subject"/>
    <w:basedOn w:val="CommentText"/>
    <w:next w:val="CommentText"/>
    <w:link w:val="CommentSubjectChar"/>
    <w:uiPriority w:val="99"/>
    <w:semiHidden/>
    <w:unhideWhenUsed/>
    <w:rsid w:val="0047394B"/>
    <w:rPr>
      <w:b/>
      <w:bCs/>
    </w:rPr>
  </w:style>
  <w:style w:type="character" w:customStyle="1" w:styleId="CommentSubjectChar">
    <w:name w:val="Comment Subject Char"/>
    <w:basedOn w:val="CommentTextChar"/>
    <w:link w:val="CommentSubject"/>
    <w:uiPriority w:val="99"/>
    <w:semiHidden/>
    <w:rsid w:val="0047394B"/>
    <w:rPr>
      <w:b/>
      <w:bCs/>
      <w:sz w:val="20"/>
      <w:szCs w:val="20"/>
    </w:rPr>
  </w:style>
  <w:style w:type="paragraph" w:styleId="BalloonText">
    <w:name w:val="Balloon Text"/>
    <w:basedOn w:val="Normal"/>
    <w:link w:val="BalloonTextChar"/>
    <w:uiPriority w:val="99"/>
    <w:unhideWhenUsed/>
    <w:rsid w:val="00CD5AEF"/>
    <w:pPr>
      <w:spacing w:after="0"/>
    </w:pPr>
    <w:rPr>
      <w:rFonts w:ascii="Tahoma" w:hAnsi="Tahoma" w:cs="Tahoma"/>
      <w:sz w:val="16"/>
      <w:szCs w:val="16"/>
    </w:rPr>
  </w:style>
  <w:style w:type="character" w:customStyle="1" w:styleId="BalloonTextChar">
    <w:name w:val="Balloon Text Char"/>
    <w:basedOn w:val="DefaultParagraphFont"/>
    <w:link w:val="BalloonText"/>
    <w:uiPriority w:val="99"/>
    <w:rsid w:val="00CD5AEF"/>
    <w:rPr>
      <w:rFonts w:ascii="Tahoma" w:eastAsia="Times New Roman" w:hAnsi="Tahoma" w:cs="Tahoma"/>
      <w:color w:val="000000"/>
      <w:sz w:val="16"/>
      <w:szCs w:val="16"/>
      <w:lang w:val="en-AU" w:eastAsia="en-AU"/>
    </w:rPr>
  </w:style>
  <w:style w:type="character" w:styleId="Emphasis">
    <w:name w:val="Emphasis"/>
    <w:basedOn w:val="DefaultParagraphFont"/>
    <w:uiPriority w:val="20"/>
    <w:qFormat/>
    <w:rsid w:val="00CD5AEF"/>
    <w:rPr>
      <w:i/>
      <w:iCs/>
    </w:rPr>
  </w:style>
  <w:style w:type="paragraph" w:styleId="Header">
    <w:name w:val="header"/>
    <w:basedOn w:val="Normal"/>
    <w:link w:val="HeaderChar"/>
    <w:rsid w:val="00CD5AEF"/>
    <w:pPr>
      <w:tabs>
        <w:tab w:val="right" w:pos="9000"/>
      </w:tabs>
      <w:spacing w:after="0"/>
    </w:pPr>
    <w:rPr>
      <w:sz w:val="18"/>
    </w:rPr>
  </w:style>
  <w:style w:type="character" w:customStyle="1" w:styleId="HeaderChar">
    <w:name w:val="Header Char"/>
    <w:basedOn w:val="DefaultParagraphFont"/>
    <w:link w:val="Header"/>
    <w:rsid w:val="00181280"/>
    <w:rPr>
      <w:rFonts w:ascii="Times New Roman" w:eastAsia="Times New Roman" w:hAnsi="Times New Roman" w:cs="Times New Roman"/>
      <w:color w:val="000000"/>
      <w:sz w:val="18"/>
      <w:szCs w:val="20"/>
      <w:lang w:val="en-AU" w:eastAsia="en-AU"/>
    </w:rPr>
  </w:style>
  <w:style w:type="paragraph" w:styleId="Footer">
    <w:name w:val="footer"/>
    <w:basedOn w:val="Normal"/>
    <w:link w:val="FooterChar"/>
    <w:uiPriority w:val="99"/>
    <w:rsid w:val="00CD5AEF"/>
    <w:pPr>
      <w:tabs>
        <w:tab w:val="right" w:pos="9000"/>
      </w:tabs>
      <w:spacing w:after="0"/>
    </w:pPr>
    <w:rPr>
      <w:sz w:val="20"/>
    </w:rPr>
  </w:style>
  <w:style w:type="character" w:customStyle="1" w:styleId="FooterChar">
    <w:name w:val="Footer Char"/>
    <w:basedOn w:val="DefaultParagraphFont"/>
    <w:link w:val="Footer"/>
    <w:uiPriority w:val="99"/>
    <w:rsid w:val="00CD5AEF"/>
    <w:rPr>
      <w:rFonts w:ascii="Times New Roman" w:eastAsia="Times New Roman" w:hAnsi="Times New Roman" w:cs="Times New Roman"/>
      <w:color w:val="000000"/>
      <w:sz w:val="20"/>
      <w:szCs w:val="20"/>
      <w:lang w:val="en-AU" w:eastAsia="en-AU"/>
    </w:rPr>
  </w:style>
  <w:style w:type="paragraph" w:customStyle="1" w:styleId="StyleLeft12cm">
    <w:name w:val="Style Left:  1.2 cm"/>
    <w:basedOn w:val="Normal"/>
    <w:rsid w:val="00521B5B"/>
    <w:pPr>
      <w:spacing w:before="240" w:after="120"/>
      <w:ind w:left="709"/>
    </w:pPr>
    <w:rPr>
      <w:rFonts w:cs="Arial"/>
    </w:rPr>
  </w:style>
  <w:style w:type="paragraph" w:customStyle="1" w:styleId="Default">
    <w:name w:val="Default"/>
    <w:rsid w:val="00BB1613"/>
    <w:pPr>
      <w:autoSpaceDE w:val="0"/>
      <w:autoSpaceDN w:val="0"/>
      <w:adjustRightInd w:val="0"/>
      <w:spacing w:after="0" w:line="240" w:lineRule="auto"/>
    </w:pPr>
    <w:rPr>
      <w:rFonts w:ascii="Book Antiqua" w:hAnsi="Book Antiqua" w:cs="Book Antiqua"/>
      <w:color w:val="000000"/>
      <w:sz w:val="24"/>
      <w:szCs w:val="24"/>
    </w:rPr>
  </w:style>
  <w:style w:type="paragraph" w:customStyle="1" w:styleId="MELegal1">
    <w:name w:val="ME Legal 1"/>
    <w:basedOn w:val="Normal"/>
    <w:next w:val="Normal"/>
    <w:rsid w:val="001E0825"/>
    <w:pPr>
      <w:keepNext/>
      <w:keepLines/>
      <w:numPr>
        <w:numId w:val="4"/>
      </w:numPr>
      <w:spacing w:before="360" w:after="120"/>
      <w:outlineLvl w:val="0"/>
    </w:pPr>
    <w:rPr>
      <w:rFonts w:ascii="Arial" w:hAnsi="Arial" w:cs="Arial"/>
      <w:spacing w:val="-10"/>
      <w:w w:val="95"/>
      <w:sz w:val="32"/>
      <w:szCs w:val="32"/>
    </w:rPr>
  </w:style>
  <w:style w:type="paragraph" w:customStyle="1" w:styleId="MELegal2">
    <w:name w:val="ME Legal 2"/>
    <w:basedOn w:val="Normal"/>
    <w:next w:val="Normal"/>
    <w:rsid w:val="001E0825"/>
    <w:pPr>
      <w:keepNext/>
      <w:spacing w:before="240" w:after="120"/>
      <w:outlineLvl w:val="1"/>
    </w:pPr>
    <w:rPr>
      <w:rFonts w:ascii="Arial" w:hAnsi="Arial" w:cs="Arial"/>
      <w:b/>
      <w:bCs/>
      <w:w w:val="95"/>
      <w:szCs w:val="24"/>
    </w:rPr>
  </w:style>
  <w:style w:type="paragraph" w:customStyle="1" w:styleId="MELegal3">
    <w:name w:val="ME Legal 3"/>
    <w:basedOn w:val="Normal"/>
    <w:next w:val="Normal"/>
    <w:rsid w:val="001E0825"/>
    <w:pPr>
      <w:numPr>
        <w:ilvl w:val="2"/>
        <w:numId w:val="4"/>
      </w:numPr>
      <w:tabs>
        <w:tab w:val="left" w:pos="1361"/>
      </w:tabs>
      <w:spacing w:before="240" w:after="120"/>
      <w:outlineLvl w:val="2"/>
    </w:pPr>
  </w:style>
  <w:style w:type="paragraph" w:customStyle="1" w:styleId="MELegal4">
    <w:name w:val="ME Legal 4"/>
    <w:basedOn w:val="Normal"/>
    <w:next w:val="Normal"/>
    <w:rsid w:val="001E0825"/>
    <w:pPr>
      <w:numPr>
        <w:ilvl w:val="3"/>
        <w:numId w:val="4"/>
      </w:numPr>
      <w:tabs>
        <w:tab w:val="left" w:pos="1979"/>
        <w:tab w:val="left" w:pos="2081"/>
      </w:tabs>
      <w:spacing w:before="240" w:after="120"/>
      <w:outlineLvl w:val="3"/>
    </w:pPr>
  </w:style>
  <w:style w:type="paragraph" w:customStyle="1" w:styleId="MELegal5">
    <w:name w:val="ME Legal 5"/>
    <w:basedOn w:val="Normal"/>
    <w:next w:val="Normal"/>
    <w:rsid w:val="001E0825"/>
    <w:pPr>
      <w:numPr>
        <w:ilvl w:val="4"/>
        <w:numId w:val="4"/>
      </w:numPr>
      <w:tabs>
        <w:tab w:val="left" w:pos="2722"/>
      </w:tabs>
      <w:spacing w:before="240" w:after="120"/>
      <w:outlineLvl w:val="4"/>
    </w:pPr>
  </w:style>
  <w:style w:type="paragraph" w:customStyle="1" w:styleId="MELegal6">
    <w:name w:val="ME Legal 6"/>
    <w:basedOn w:val="Normal"/>
    <w:next w:val="Normal"/>
    <w:rsid w:val="001E0825"/>
    <w:pPr>
      <w:numPr>
        <w:ilvl w:val="5"/>
        <w:numId w:val="4"/>
      </w:numPr>
      <w:spacing w:before="240" w:after="120"/>
      <w:outlineLvl w:val="5"/>
    </w:pPr>
  </w:style>
  <w:style w:type="paragraph" w:customStyle="1" w:styleId="DefinitionL3">
    <w:name w:val="Definition L3"/>
    <w:basedOn w:val="Normal"/>
    <w:next w:val="Normal"/>
    <w:rsid w:val="001E0825"/>
    <w:pPr>
      <w:numPr>
        <w:ilvl w:val="3"/>
        <w:numId w:val="2"/>
      </w:numPr>
      <w:spacing w:after="140" w:line="280" w:lineRule="atLeast"/>
      <w:outlineLvl w:val="2"/>
    </w:pPr>
  </w:style>
  <w:style w:type="character" w:customStyle="1" w:styleId="Heading1Char">
    <w:name w:val="Heading 1 Char"/>
    <w:basedOn w:val="DefaultParagraphFont"/>
    <w:link w:val="Heading1"/>
    <w:rsid w:val="00837F51"/>
    <w:rPr>
      <w:rFonts w:ascii="Times New Roman" w:eastAsia="Times New Roman" w:hAnsi="Times New Roman" w:cs="Arial"/>
      <w:b/>
      <w:bCs/>
      <w:color w:val="000000"/>
      <w:kern w:val="32"/>
      <w:sz w:val="40"/>
      <w:szCs w:val="32"/>
      <w:lang w:val="en-AU" w:eastAsia="en-AU"/>
    </w:rPr>
  </w:style>
  <w:style w:type="paragraph" w:styleId="TOCHeading">
    <w:name w:val="TOC Heading"/>
    <w:basedOn w:val="Heading1"/>
    <w:next w:val="Normal"/>
    <w:uiPriority w:val="39"/>
    <w:unhideWhenUsed/>
    <w:qFormat/>
    <w:rsid w:val="00837F51"/>
    <w:pPr>
      <w:outlineLvl w:val="9"/>
    </w:pPr>
  </w:style>
  <w:style w:type="paragraph" w:styleId="TOC2">
    <w:name w:val="toc 2"/>
    <w:basedOn w:val="Normal"/>
    <w:next w:val="Normal"/>
    <w:autoRedefine/>
    <w:uiPriority w:val="39"/>
    <w:rsid w:val="00CD5AEF"/>
    <w:pPr>
      <w:tabs>
        <w:tab w:val="left" w:pos="1440"/>
        <w:tab w:val="right" w:leader="dot" w:pos="9016"/>
      </w:tabs>
      <w:spacing w:before="120" w:after="60"/>
      <w:ind w:left="1440" w:right="720" w:hanging="720"/>
    </w:pPr>
  </w:style>
  <w:style w:type="paragraph" w:styleId="TOC1">
    <w:name w:val="toc 1"/>
    <w:basedOn w:val="Normal"/>
    <w:next w:val="Normal"/>
    <w:autoRedefine/>
    <w:uiPriority w:val="39"/>
    <w:rsid w:val="00CD5AEF"/>
    <w:pPr>
      <w:tabs>
        <w:tab w:val="left" w:pos="720"/>
        <w:tab w:val="right" w:leader="dot" w:pos="9016"/>
      </w:tabs>
      <w:spacing w:before="360" w:after="60"/>
      <w:ind w:left="720" w:right="720" w:hanging="720"/>
    </w:pPr>
    <w:rPr>
      <w:b/>
      <w:bCs/>
      <w:noProof/>
    </w:rPr>
  </w:style>
  <w:style w:type="paragraph" w:styleId="TOC3">
    <w:name w:val="toc 3"/>
    <w:basedOn w:val="Normal"/>
    <w:next w:val="Normal"/>
    <w:autoRedefine/>
    <w:uiPriority w:val="39"/>
    <w:rsid w:val="00CD5AEF"/>
    <w:pPr>
      <w:tabs>
        <w:tab w:val="left" w:pos="2160"/>
        <w:tab w:val="right" w:leader="dot" w:pos="9016"/>
      </w:tabs>
      <w:spacing w:after="20"/>
      <w:ind w:left="2160" w:right="720" w:hanging="720"/>
    </w:pPr>
  </w:style>
  <w:style w:type="character" w:styleId="Hyperlink">
    <w:name w:val="Hyperlink"/>
    <w:basedOn w:val="DefaultParagraphFont"/>
    <w:uiPriority w:val="99"/>
    <w:unhideWhenUsed/>
    <w:rsid w:val="00837F51"/>
    <w:rPr>
      <w:color w:val="0563C1" w:themeColor="hyperlink"/>
      <w:u w:val="single"/>
    </w:rPr>
  </w:style>
  <w:style w:type="table" w:styleId="TableGrid">
    <w:name w:val="Table Grid"/>
    <w:basedOn w:val="TableNormal"/>
    <w:uiPriority w:val="59"/>
    <w:rsid w:val="00CD5AEF"/>
    <w:pPr>
      <w:spacing w:after="0" w:line="240" w:lineRule="auto"/>
    </w:pPr>
    <w:rPr>
      <w:rFonts w:ascii="Times New Roman" w:eastAsia="Times New Roman" w:hAnsi="Times New Roma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22216"/>
    <w:rPr>
      <w:color w:val="808080"/>
      <w:shd w:val="clear" w:color="auto" w:fill="E6E6E6"/>
    </w:rPr>
  </w:style>
  <w:style w:type="character" w:customStyle="1" w:styleId="ListParagraphChar">
    <w:name w:val="List Paragraph Char"/>
    <w:aliases w:val="List Paragraph1 Char,Recommendation Char,List Paragraph11 Char,Bulletr List Paragraph Char,FooterText Char,L Char,List Paragraph2 Char,List Paragraph21 Char,Listeafsnit1 Char,NFP GP Bulleted List Char,Paragraphe de liste1 Char"/>
    <w:link w:val="ListParagraph"/>
    <w:uiPriority w:val="34"/>
    <w:qFormat/>
    <w:rsid w:val="002A19B8"/>
  </w:style>
  <w:style w:type="character" w:customStyle="1" w:styleId="Heading2Char">
    <w:name w:val="Heading 2 Char"/>
    <w:basedOn w:val="DefaultParagraphFont"/>
    <w:link w:val="Heading2"/>
    <w:rsid w:val="00E7711D"/>
    <w:rPr>
      <w:rFonts w:ascii="Times New Roman" w:eastAsia="Times New Roman" w:hAnsi="Times New Roman" w:cs="Arial"/>
      <w:b/>
      <w:bCs/>
      <w:iCs/>
      <w:color w:val="000000"/>
      <w:sz w:val="28"/>
      <w:szCs w:val="28"/>
      <w:lang w:val="en-AU" w:eastAsia="en-AU"/>
    </w:rPr>
  </w:style>
  <w:style w:type="paragraph" w:styleId="Title">
    <w:name w:val="Title"/>
    <w:basedOn w:val="Normal"/>
    <w:next w:val="Normal"/>
    <w:link w:val="TitleChar"/>
    <w:uiPriority w:val="10"/>
    <w:rsid w:val="00CD5AEF"/>
    <w:pPr>
      <w:spacing w:after="300"/>
      <w:contextualSpacing/>
      <w:jc w:val="center"/>
    </w:pPr>
    <w:rPr>
      <w:rFonts w:ascii="Times New Roman Bold" w:eastAsiaTheme="majorEastAsia" w:hAnsi="Times New Roman Bold" w:cstheme="majorBidi"/>
      <w:b/>
      <w:color w:val="auto"/>
      <w:spacing w:val="5"/>
      <w:kern w:val="28"/>
      <w:sz w:val="48"/>
      <w:szCs w:val="52"/>
    </w:rPr>
  </w:style>
  <w:style w:type="character" w:customStyle="1" w:styleId="TitleChar">
    <w:name w:val="Title Char"/>
    <w:basedOn w:val="DefaultParagraphFont"/>
    <w:link w:val="Title"/>
    <w:uiPriority w:val="10"/>
    <w:rsid w:val="00CD5AEF"/>
    <w:rPr>
      <w:rFonts w:ascii="Times New Roman Bold" w:eastAsiaTheme="majorEastAsia" w:hAnsi="Times New Roman Bold" w:cstheme="majorBidi"/>
      <w:b/>
      <w:spacing w:val="5"/>
      <w:kern w:val="28"/>
      <w:sz w:val="48"/>
      <w:szCs w:val="52"/>
      <w:lang w:val="en-AU" w:eastAsia="en-AU"/>
    </w:rPr>
  </w:style>
  <w:style w:type="paragraph" w:styleId="ListBullet">
    <w:name w:val="List Bullet"/>
    <w:basedOn w:val="Normal"/>
    <w:rsid w:val="00E7711D"/>
    <w:pPr>
      <w:numPr>
        <w:numId w:val="3"/>
      </w:numPr>
      <w:spacing w:before="60" w:after="120"/>
    </w:pPr>
    <w:rPr>
      <w:rFonts w:ascii="Arial" w:hAnsi="Arial"/>
      <w:sz w:val="21"/>
      <w:szCs w:val="24"/>
    </w:rPr>
  </w:style>
  <w:style w:type="paragraph" w:customStyle="1" w:styleId="Tabletext">
    <w:name w:val="Table text"/>
    <w:basedOn w:val="Normal"/>
    <w:rsid w:val="00E7711D"/>
    <w:pPr>
      <w:spacing w:after="0"/>
    </w:pPr>
    <w:rPr>
      <w:rFonts w:ascii="Arial" w:hAnsi="Arial"/>
      <w:sz w:val="21"/>
      <w:szCs w:val="24"/>
    </w:rPr>
  </w:style>
  <w:style w:type="character" w:customStyle="1" w:styleId="Heading3Char">
    <w:name w:val="Heading 3 Char"/>
    <w:basedOn w:val="DefaultParagraphFont"/>
    <w:link w:val="Heading3"/>
    <w:rsid w:val="00CE2878"/>
    <w:rPr>
      <w:rFonts w:ascii="Times New Roman" w:eastAsia="Times New Roman" w:hAnsi="Times New Roman" w:cs="Arial"/>
      <w:b/>
      <w:bCs/>
      <w:color w:val="000000"/>
      <w:sz w:val="24"/>
      <w:szCs w:val="26"/>
      <w:lang w:val="en-AU" w:eastAsia="en-AU"/>
    </w:rPr>
  </w:style>
  <w:style w:type="numbering" w:customStyle="1" w:styleId="NoList1">
    <w:name w:val="No List1"/>
    <w:next w:val="NoList"/>
    <w:semiHidden/>
    <w:rsid w:val="00CE2878"/>
  </w:style>
  <w:style w:type="table" w:customStyle="1" w:styleId="TableGrid1">
    <w:name w:val="Table Grid1"/>
    <w:basedOn w:val="TableNormal"/>
    <w:next w:val="TableGrid"/>
    <w:rsid w:val="00CE287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CD5AEF"/>
    <w:rPr>
      <w:rFonts w:ascii="Times New Roman" w:hAnsi="Times New Roman"/>
      <w:b/>
      <w:sz w:val="20"/>
    </w:rPr>
  </w:style>
  <w:style w:type="paragraph" w:styleId="Subtitle">
    <w:name w:val="Subtitle"/>
    <w:basedOn w:val="Normal"/>
    <w:next w:val="Normal"/>
    <w:link w:val="SubtitleChar"/>
    <w:uiPriority w:val="11"/>
    <w:rsid w:val="00CD5AEF"/>
    <w:pPr>
      <w:numPr>
        <w:ilvl w:val="1"/>
      </w:numPr>
      <w:jc w:val="center"/>
    </w:pPr>
    <w:rPr>
      <w:rFonts w:ascii="Times New Roman Bold" w:eastAsiaTheme="majorEastAsia" w:hAnsi="Times New Roman Bold" w:cstheme="majorBidi"/>
      <w:b/>
      <w:iCs/>
      <w:color w:val="auto"/>
      <w:sz w:val="40"/>
      <w:szCs w:val="24"/>
    </w:rPr>
  </w:style>
  <w:style w:type="character" w:customStyle="1" w:styleId="SubtitleChar">
    <w:name w:val="Subtitle Char"/>
    <w:basedOn w:val="DefaultParagraphFont"/>
    <w:link w:val="Subtitle"/>
    <w:uiPriority w:val="11"/>
    <w:rsid w:val="00CD5AEF"/>
    <w:rPr>
      <w:rFonts w:ascii="Times New Roman Bold" w:eastAsiaTheme="majorEastAsia" w:hAnsi="Times New Roman Bold" w:cstheme="majorBidi"/>
      <w:b/>
      <w:iCs/>
      <w:sz w:val="40"/>
      <w:szCs w:val="24"/>
      <w:lang w:val="en-AU" w:eastAsia="en-AU"/>
    </w:rPr>
  </w:style>
  <w:style w:type="paragraph" w:styleId="TOC4">
    <w:name w:val="toc 4"/>
    <w:basedOn w:val="Normal"/>
    <w:next w:val="Normal"/>
    <w:autoRedefine/>
    <w:rsid w:val="00CD5AEF"/>
    <w:pPr>
      <w:tabs>
        <w:tab w:val="right" w:leader="dot" w:pos="9016"/>
      </w:tabs>
      <w:spacing w:after="0"/>
      <w:ind w:left="2160" w:right="720"/>
    </w:pPr>
    <w:rPr>
      <w:noProof/>
      <w:szCs w:val="24"/>
    </w:rPr>
  </w:style>
  <w:style w:type="paragraph" w:styleId="TOC5">
    <w:name w:val="toc 5"/>
    <w:basedOn w:val="Normal"/>
    <w:next w:val="Normal"/>
    <w:autoRedefine/>
    <w:uiPriority w:val="39"/>
    <w:unhideWhenUsed/>
    <w:rsid w:val="0032017D"/>
    <w:pPr>
      <w:spacing w:after="100"/>
      <w:ind w:left="880"/>
    </w:pPr>
    <w:rPr>
      <w:rFonts w:eastAsiaTheme="minorEastAsia"/>
    </w:rPr>
  </w:style>
  <w:style w:type="paragraph" w:styleId="TOC6">
    <w:name w:val="toc 6"/>
    <w:basedOn w:val="Normal"/>
    <w:next w:val="Normal"/>
    <w:autoRedefine/>
    <w:uiPriority w:val="39"/>
    <w:unhideWhenUsed/>
    <w:rsid w:val="0032017D"/>
    <w:pPr>
      <w:spacing w:after="100"/>
      <w:ind w:left="1100"/>
    </w:pPr>
    <w:rPr>
      <w:rFonts w:eastAsiaTheme="minorEastAsia"/>
    </w:rPr>
  </w:style>
  <w:style w:type="paragraph" w:styleId="TOC7">
    <w:name w:val="toc 7"/>
    <w:basedOn w:val="Normal"/>
    <w:next w:val="Normal"/>
    <w:autoRedefine/>
    <w:uiPriority w:val="39"/>
    <w:unhideWhenUsed/>
    <w:rsid w:val="0032017D"/>
    <w:pPr>
      <w:spacing w:after="100"/>
      <w:ind w:left="1320"/>
    </w:pPr>
    <w:rPr>
      <w:rFonts w:eastAsiaTheme="minorEastAsia"/>
    </w:rPr>
  </w:style>
  <w:style w:type="paragraph" w:styleId="TOC8">
    <w:name w:val="toc 8"/>
    <w:basedOn w:val="Normal"/>
    <w:next w:val="Normal"/>
    <w:autoRedefine/>
    <w:uiPriority w:val="39"/>
    <w:unhideWhenUsed/>
    <w:rsid w:val="0032017D"/>
    <w:pPr>
      <w:spacing w:after="100"/>
      <w:ind w:left="1540"/>
    </w:pPr>
    <w:rPr>
      <w:rFonts w:eastAsiaTheme="minorEastAsia"/>
    </w:rPr>
  </w:style>
  <w:style w:type="paragraph" w:styleId="TOC9">
    <w:name w:val="toc 9"/>
    <w:basedOn w:val="Normal"/>
    <w:next w:val="Normal"/>
    <w:autoRedefine/>
    <w:uiPriority w:val="39"/>
    <w:unhideWhenUsed/>
    <w:rsid w:val="0032017D"/>
    <w:pPr>
      <w:spacing w:after="100"/>
      <w:ind w:left="1760"/>
    </w:pPr>
    <w:rPr>
      <w:rFonts w:eastAsiaTheme="minorEastAsia"/>
    </w:rPr>
  </w:style>
  <w:style w:type="paragraph" w:styleId="NormalWeb">
    <w:name w:val="Normal (Web)"/>
    <w:basedOn w:val="Normal"/>
    <w:uiPriority w:val="99"/>
    <w:semiHidden/>
    <w:unhideWhenUsed/>
    <w:rsid w:val="00CD40D1"/>
    <w:pPr>
      <w:spacing w:before="100" w:beforeAutospacing="1" w:after="100" w:afterAutospacing="1"/>
    </w:pPr>
    <w:rPr>
      <w:rFonts w:eastAsiaTheme="minorEastAsia"/>
      <w:szCs w:val="24"/>
      <w:lang w:eastAsia="zh-CN"/>
    </w:rPr>
  </w:style>
  <w:style w:type="paragraph" w:styleId="Revision">
    <w:name w:val="Revision"/>
    <w:hidden/>
    <w:uiPriority w:val="99"/>
    <w:semiHidden/>
    <w:rsid w:val="008868BE"/>
    <w:pPr>
      <w:spacing w:after="0" w:line="240" w:lineRule="auto"/>
    </w:pPr>
  </w:style>
  <w:style w:type="character" w:styleId="FollowedHyperlink">
    <w:name w:val="FollowedHyperlink"/>
    <w:basedOn w:val="DefaultParagraphFont"/>
    <w:uiPriority w:val="99"/>
    <w:semiHidden/>
    <w:unhideWhenUsed/>
    <w:rsid w:val="00F443A1"/>
    <w:rPr>
      <w:color w:val="954F72" w:themeColor="followedHyperlink"/>
      <w:u w:val="single"/>
    </w:rPr>
  </w:style>
  <w:style w:type="paragraph" w:styleId="FootnoteText">
    <w:name w:val="footnote text"/>
    <w:basedOn w:val="Normal"/>
    <w:link w:val="FootnoteTextChar"/>
    <w:rsid w:val="00CD5AEF"/>
    <w:pPr>
      <w:spacing w:after="0"/>
      <w:ind w:left="360" w:hanging="360"/>
    </w:pPr>
    <w:rPr>
      <w:sz w:val="20"/>
    </w:rPr>
  </w:style>
  <w:style w:type="character" w:customStyle="1" w:styleId="FootnoteTextChar">
    <w:name w:val="Footnote Text Char"/>
    <w:basedOn w:val="DefaultParagraphFont"/>
    <w:link w:val="FootnoteText"/>
    <w:rsid w:val="00BE0504"/>
    <w:rPr>
      <w:rFonts w:ascii="Times New Roman" w:eastAsia="Times New Roman" w:hAnsi="Times New Roman" w:cs="Times New Roman"/>
      <w:color w:val="000000"/>
      <w:sz w:val="20"/>
      <w:szCs w:val="20"/>
      <w:lang w:val="en-AU" w:eastAsia="en-AU"/>
    </w:rPr>
  </w:style>
  <w:style w:type="numbering" w:styleId="111111">
    <w:name w:val="Outline List 2"/>
    <w:basedOn w:val="NoList"/>
    <w:rsid w:val="00BE0504"/>
    <w:pPr>
      <w:numPr>
        <w:numId w:val="5"/>
      </w:numPr>
    </w:pPr>
  </w:style>
  <w:style w:type="character" w:customStyle="1" w:styleId="UnresolvedMention2">
    <w:name w:val="Unresolved Mention2"/>
    <w:basedOn w:val="DefaultParagraphFont"/>
    <w:uiPriority w:val="99"/>
    <w:rsid w:val="00A23EDA"/>
    <w:rPr>
      <w:color w:val="808080"/>
      <w:shd w:val="clear" w:color="auto" w:fill="E6E6E6"/>
    </w:rPr>
  </w:style>
  <w:style w:type="paragraph" w:styleId="Caption">
    <w:name w:val="caption"/>
    <w:basedOn w:val="Normal"/>
    <w:next w:val="Credit"/>
    <w:uiPriority w:val="35"/>
    <w:unhideWhenUsed/>
    <w:rsid w:val="00CD5AEF"/>
    <w:pPr>
      <w:spacing w:after="0"/>
    </w:pPr>
    <w:rPr>
      <w:b/>
      <w:bCs/>
      <w:color w:val="auto"/>
      <w:sz w:val="18"/>
      <w:szCs w:val="18"/>
    </w:rPr>
  </w:style>
  <w:style w:type="character" w:customStyle="1" w:styleId="frag-defterm">
    <w:name w:val="frag-defterm"/>
    <w:basedOn w:val="DefaultParagraphFont"/>
    <w:rsid w:val="00C643BA"/>
  </w:style>
  <w:style w:type="character" w:customStyle="1" w:styleId="UnresolvedMention3">
    <w:name w:val="Unresolved Mention3"/>
    <w:basedOn w:val="DefaultParagraphFont"/>
    <w:uiPriority w:val="99"/>
    <w:rsid w:val="00C34A8B"/>
    <w:rPr>
      <w:color w:val="808080"/>
      <w:shd w:val="clear" w:color="auto" w:fill="E6E6E6"/>
    </w:rPr>
  </w:style>
  <w:style w:type="paragraph" w:styleId="Date">
    <w:name w:val="Date"/>
    <w:basedOn w:val="Normal"/>
    <w:next w:val="Normal"/>
    <w:link w:val="DateChar"/>
    <w:uiPriority w:val="99"/>
    <w:semiHidden/>
    <w:unhideWhenUsed/>
    <w:rsid w:val="0032410E"/>
  </w:style>
  <w:style w:type="character" w:customStyle="1" w:styleId="DateChar">
    <w:name w:val="Date Char"/>
    <w:basedOn w:val="DefaultParagraphFont"/>
    <w:link w:val="Date"/>
    <w:uiPriority w:val="99"/>
    <w:semiHidden/>
    <w:rsid w:val="0032410E"/>
  </w:style>
  <w:style w:type="character" w:customStyle="1" w:styleId="Heading4Char">
    <w:name w:val="Heading 4 Char"/>
    <w:basedOn w:val="DefaultParagraphFont"/>
    <w:link w:val="Heading4"/>
    <w:rsid w:val="00CD5AEF"/>
    <w:rPr>
      <w:rFonts w:ascii="Times New Roman" w:eastAsia="Times New Roman" w:hAnsi="Times New Roman" w:cs="Times New Roman"/>
      <w:b/>
      <w:bCs/>
      <w:i/>
      <w:color w:val="000000"/>
      <w:sz w:val="24"/>
      <w:szCs w:val="28"/>
      <w:lang w:val="en-AU" w:eastAsia="en-AU"/>
    </w:rPr>
  </w:style>
  <w:style w:type="character" w:customStyle="1" w:styleId="Heading5Char">
    <w:name w:val="Heading 5 Char"/>
    <w:basedOn w:val="DefaultParagraphFont"/>
    <w:link w:val="Heading5"/>
    <w:rsid w:val="00CD5AEF"/>
    <w:rPr>
      <w:rFonts w:ascii="Times New Roman" w:eastAsia="Times New Roman" w:hAnsi="Times New Roman" w:cs="Times New Roman"/>
      <w:bCs/>
      <w:i/>
      <w:iCs/>
      <w:color w:val="000000"/>
      <w:szCs w:val="26"/>
      <w:lang w:val="en-AU" w:eastAsia="en-AU"/>
    </w:rPr>
  </w:style>
  <w:style w:type="paragraph" w:customStyle="1" w:styleId="PullQuote">
    <w:name w:val="PullQuote"/>
    <w:basedOn w:val="Normal"/>
    <w:next w:val="Normal"/>
    <w:rsid w:val="00CD5AEF"/>
    <w:rPr>
      <w:rFonts w:ascii="Times New Roman Bold" w:hAnsi="Times New Roman Bold"/>
      <w:b/>
      <w:color w:val="7B7B7B" w:themeColor="accent3" w:themeShade="BF"/>
    </w:rPr>
  </w:style>
  <w:style w:type="paragraph" w:customStyle="1" w:styleId="ReportDate">
    <w:name w:val="ReportDate"/>
    <w:basedOn w:val="Normal"/>
    <w:rsid w:val="00CD5AEF"/>
    <w:pPr>
      <w:jc w:val="center"/>
    </w:pPr>
    <w:rPr>
      <w:sz w:val="40"/>
    </w:rPr>
  </w:style>
  <w:style w:type="paragraph" w:customStyle="1" w:styleId="Heading1a">
    <w:name w:val="Heading 1a"/>
    <w:basedOn w:val="Heading1"/>
    <w:next w:val="Normal"/>
    <w:rsid w:val="00CD5AEF"/>
    <w:pPr>
      <w:outlineLvl w:val="9"/>
    </w:pPr>
  </w:style>
  <w:style w:type="paragraph" w:customStyle="1" w:styleId="Heading2a">
    <w:name w:val="Heading 2a"/>
    <w:basedOn w:val="Heading2"/>
    <w:next w:val="Normal"/>
    <w:rsid w:val="00CD5AEF"/>
    <w:pPr>
      <w:ind w:left="0" w:firstLine="0"/>
      <w:outlineLvl w:val="9"/>
    </w:pPr>
  </w:style>
  <w:style w:type="paragraph" w:customStyle="1" w:styleId="Heading3a">
    <w:name w:val="Heading 3a"/>
    <w:basedOn w:val="Heading3"/>
    <w:next w:val="Normal"/>
    <w:rsid w:val="00CD5AEF"/>
    <w:pPr>
      <w:ind w:left="0" w:firstLine="0"/>
      <w:outlineLvl w:val="9"/>
    </w:pPr>
  </w:style>
  <w:style w:type="paragraph" w:customStyle="1" w:styleId="TableText0">
    <w:name w:val="TableText"/>
    <w:basedOn w:val="Normal"/>
    <w:rsid w:val="00CD5AEF"/>
    <w:pPr>
      <w:keepNext/>
      <w:spacing w:before="60" w:after="60"/>
    </w:pPr>
    <w:rPr>
      <w:sz w:val="21"/>
      <w:szCs w:val="21"/>
    </w:rPr>
  </w:style>
  <w:style w:type="paragraph" w:customStyle="1" w:styleId="TFListNotesSpace">
    <w:name w:val="TFListNotes+Space"/>
    <w:basedOn w:val="TableText0"/>
    <w:next w:val="Normal"/>
    <w:rsid w:val="00CD5AEF"/>
    <w:pPr>
      <w:keepNext w:val="0"/>
      <w:keepLines/>
      <w:spacing w:before="0" w:after="360"/>
    </w:pPr>
    <w:rPr>
      <w:sz w:val="18"/>
      <w:szCs w:val="18"/>
    </w:rPr>
  </w:style>
  <w:style w:type="paragraph" w:customStyle="1" w:styleId="TFListNotes">
    <w:name w:val="TFListNotes"/>
    <w:basedOn w:val="TFListNotesSpace"/>
    <w:rsid w:val="00CD5AEF"/>
    <w:pPr>
      <w:keepNext/>
      <w:spacing w:after="0"/>
      <w:ind w:left="170" w:hanging="170"/>
    </w:pPr>
  </w:style>
  <w:style w:type="paragraph" w:customStyle="1" w:styleId="TableName">
    <w:name w:val="TableName"/>
    <w:basedOn w:val="TableText0"/>
    <w:rsid w:val="00CD5AEF"/>
    <w:pPr>
      <w:tabs>
        <w:tab w:val="left" w:pos="1080"/>
      </w:tabs>
      <w:spacing w:before="120" w:after="120"/>
      <w:ind w:left="1080" w:hanging="1080"/>
    </w:pPr>
    <w:rPr>
      <w:rFonts w:ascii="Times New Roman Bold" w:hAnsi="Times New Roman Bold"/>
      <w:b/>
      <w:bCs/>
      <w:sz w:val="22"/>
    </w:rPr>
  </w:style>
  <w:style w:type="paragraph" w:customStyle="1" w:styleId="TableHeading">
    <w:name w:val="TableHeading"/>
    <w:basedOn w:val="TableText0"/>
    <w:rsid w:val="00CD5AEF"/>
    <w:rPr>
      <w:b/>
      <w:bCs/>
    </w:rPr>
  </w:style>
  <w:style w:type="paragraph" w:customStyle="1" w:styleId="TableBullet">
    <w:name w:val="TableBullet"/>
    <w:basedOn w:val="TableText0"/>
    <w:rsid w:val="007F061C"/>
    <w:pPr>
      <w:numPr>
        <w:numId w:val="6"/>
      </w:numPr>
    </w:pPr>
  </w:style>
  <w:style w:type="paragraph" w:customStyle="1" w:styleId="TableDash">
    <w:name w:val="TableDash"/>
    <w:basedOn w:val="TableText0"/>
    <w:rsid w:val="00CD5AEF"/>
    <w:pPr>
      <w:numPr>
        <w:numId w:val="7"/>
      </w:numPr>
      <w:tabs>
        <w:tab w:val="clear" w:pos="216"/>
        <w:tab w:val="num" w:pos="432"/>
      </w:tabs>
    </w:pPr>
  </w:style>
  <w:style w:type="paragraph" w:styleId="Quote">
    <w:name w:val="Quote"/>
    <w:basedOn w:val="Normal"/>
    <w:link w:val="QuoteChar"/>
    <w:rsid w:val="00CD5AEF"/>
    <w:pPr>
      <w:ind w:left="720" w:right="720"/>
    </w:pPr>
    <w:rPr>
      <w:sz w:val="20"/>
    </w:rPr>
  </w:style>
  <w:style w:type="character" w:customStyle="1" w:styleId="QuoteChar">
    <w:name w:val="Quote Char"/>
    <w:basedOn w:val="DefaultParagraphFont"/>
    <w:link w:val="Quote"/>
    <w:rsid w:val="00CD5AEF"/>
    <w:rPr>
      <w:rFonts w:ascii="Times New Roman" w:eastAsia="Times New Roman" w:hAnsi="Times New Roman" w:cs="Times New Roman"/>
      <w:color w:val="000000"/>
      <w:sz w:val="20"/>
      <w:szCs w:val="20"/>
      <w:lang w:val="en-AU" w:eastAsia="en-AU"/>
    </w:rPr>
  </w:style>
  <w:style w:type="paragraph" w:customStyle="1" w:styleId="References">
    <w:name w:val="References"/>
    <w:basedOn w:val="Normal"/>
    <w:rsid w:val="00CD5AEF"/>
    <w:pPr>
      <w:keepLines/>
      <w:ind w:left="720" w:hanging="720"/>
    </w:pPr>
  </w:style>
  <w:style w:type="character" w:styleId="FootnoteReference">
    <w:name w:val="footnote reference"/>
    <w:basedOn w:val="DefaultParagraphFont"/>
    <w:semiHidden/>
    <w:rsid w:val="00CD5AEF"/>
    <w:rPr>
      <w:vertAlign w:val="superscript"/>
    </w:rPr>
  </w:style>
  <w:style w:type="paragraph" w:customStyle="1" w:styleId="FigTabPara">
    <w:name w:val="FigTabPara"/>
    <w:basedOn w:val="Normal"/>
    <w:next w:val="TFIHolder"/>
    <w:rsid w:val="00CD5AEF"/>
    <w:pPr>
      <w:keepNext/>
      <w:spacing w:after="120"/>
      <w:ind w:left="1077"/>
    </w:pPr>
  </w:style>
  <w:style w:type="paragraph" w:customStyle="1" w:styleId="TFIHolder">
    <w:name w:val="TFIHolder"/>
    <w:basedOn w:val="TFAbbrevs"/>
    <w:qFormat/>
    <w:rsid w:val="00CD5AEF"/>
    <w:rPr>
      <w:sz w:val="12"/>
    </w:rPr>
  </w:style>
  <w:style w:type="paragraph" w:customStyle="1" w:styleId="TFAbbrevs">
    <w:name w:val="TFAbbrevs"/>
    <w:basedOn w:val="TFListNotes"/>
    <w:rsid w:val="00E6019F"/>
    <w:pPr>
      <w:ind w:left="0" w:firstLine="0"/>
    </w:pPr>
  </w:style>
  <w:style w:type="paragraph" w:customStyle="1" w:styleId="FigureNameSpace">
    <w:name w:val="FigureName+Space"/>
    <w:basedOn w:val="Normal"/>
    <w:next w:val="Normal"/>
    <w:rsid w:val="00CD5AEF"/>
    <w:pPr>
      <w:keepLines/>
      <w:tabs>
        <w:tab w:val="left" w:pos="1080"/>
      </w:tabs>
      <w:spacing w:before="120" w:after="360"/>
      <w:ind w:left="1080" w:hanging="1080"/>
    </w:pPr>
    <w:rPr>
      <w:b/>
      <w:bCs/>
      <w:sz w:val="22"/>
    </w:rPr>
  </w:style>
  <w:style w:type="paragraph" w:styleId="TableofFigures">
    <w:name w:val="table of figures"/>
    <w:basedOn w:val="Normal"/>
    <w:next w:val="Normal"/>
    <w:uiPriority w:val="99"/>
    <w:rsid w:val="00CD5AEF"/>
    <w:pPr>
      <w:tabs>
        <w:tab w:val="left" w:pos="1080"/>
        <w:tab w:val="right" w:leader="dot" w:pos="9000"/>
      </w:tabs>
      <w:spacing w:after="120"/>
      <w:ind w:left="1080" w:right="720" w:hangingChars="450" w:hanging="1080"/>
    </w:pPr>
  </w:style>
  <w:style w:type="paragraph" w:customStyle="1" w:styleId="BulletBeforeDash">
    <w:name w:val="BulletBeforeDash"/>
    <w:basedOn w:val="Normal"/>
    <w:rsid w:val="00CD5AEF"/>
    <w:pPr>
      <w:numPr>
        <w:numId w:val="8"/>
      </w:numPr>
      <w:spacing w:after="0"/>
    </w:pPr>
  </w:style>
  <w:style w:type="paragraph" w:customStyle="1" w:styleId="Bullet">
    <w:name w:val="Bullet"/>
    <w:basedOn w:val="BulletBeforeDash"/>
    <w:qFormat/>
    <w:rsid w:val="00CD5AEF"/>
    <w:pPr>
      <w:spacing w:after="120"/>
    </w:pPr>
  </w:style>
  <w:style w:type="paragraph" w:customStyle="1" w:styleId="BulletLast">
    <w:name w:val="BulletLast"/>
    <w:basedOn w:val="Bullet"/>
    <w:qFormat/>
    <w:rsid w:val="00230CCC"/>
    <w:pPr>
      <w:spacing w:after="240"/>
      <w:ind w:left="357" w:hanging="357"/>
    </w:pPr>
    <w:rPr>
      <w:rFonts w:cs="Arial"/>
    </w:rPr>
  </w:style>
  <w:style w:type="paragraph" w:customStyle="1" w:styleId="Dash">
    <w:name w:val="Dash"/>
    <w:basedOn w:val="Normal"/>
    <w:rsid w:val="00CD5AEF"/>
    <w:pPr>
      <w:numPr>
        <w:numId w:val="9"/>
      </w:numPr>
      <w:tabs>
        <w:tab w:val="clear" w:pos="216"/>
        <w:tab w:val="left" w:pos="720"/>
      </w:tabs>
      <w:spacing w:after="0"/>
      <w:ind w:left="720" w:hanging="360"/>
    </w:pPr>
  </w:style>
  <w:style w:type="paragraph" w:customStyle="1" w:styleId="DashLast">
    <w:name w:val="DashLast"/>
    <w:basedOn w:val="Dash"/>
    <w:rsid w:val="00CD5AEF"/>
    <w:pPr>
      <w:spacing w:after="120"/>
    </w:pPr>
  </w:style>
  <w:style w:type="paragraph" w:customStyle="1" w:styleId="DashLastSpace">
    <w:name w:val="DashLast+Space"/>
    <w:basedOn w:val="DashLast"/>
    <w:rsid w:val="00CD5AEF"/>
    <w:pPr>
      <w:spacing w:after="240"/>
    </w:pPr>
  </w:style>
  <w:style w:type="paragraph" w:customStyle="1" w:styleId="NormalBeforeBullet">
    <w:name w:val="NormalBeforeBullet"/>
    <w:basedOn w:val="Normal"/>
    <w:qFormat/>
    <w:rsid w:val="00CD5AEF"/>
    <w:pPr>
      <w:keepNext/>
      <w:spacing w:after="120"/>
    </w:pPr>
  </w:style>
  <w:style w:type="paragraph" w:customStyle="1" w:styleId="BoxText">
    <w:name w:val="BoxText"/>
    <w:basedOn w:val="Normal"/>
    <w:qFormat/>
    <w:rsid w:val="00CD5AEF"/>
    <w:pPr>
      <w:pBdr>
        <w:top w:val="single" w:sz="4" w:space="4" w:color="000000"/>
        <w:left w:val="single" w:sz="4" w:space="4" w:color="000000"/>
        <w:bottom w:val="single" w:sz="4" w:space="4" w:color="000000"/>
        <w:right w:val="single" w:sz="4" w:space="4" w:color="000000"/>
      </w:pBdr>
      <w:spacing w:after="120"/>
    </w:pPr>
    <w:rPr>
      <w:sz w:val="22"/>
    </w:rPr>
  </w:style>
  <w:style w:type="paragraph" w:customStyle="1" w:styleId="BoxNotes">
    <w:name w:val="BoxNotes"/>
    <w:basedOn w:val="BoxText"/>
    <w:rsid w:val="00CD5AEF"/>
    <w:pPr>
      <w:spacing w:before="120" w:after="60"/>
    </w:pPr>
    <w:rPr>
      <w:sz w:val="18"/>
    </w:rPr>
  </w:style>
  <w:style w:type="paragraph" w:customStyle="1" w:styleId="BoxName">
    <w:name w:val="BoxName"/>
    <w:basedOn w:val="BoxText"/>
    <w:rsid w:val="00CD5AEF"/>
    <w:pPr>
      <w:keepNext/>
      <w:spacing w:before="180"/>
      <w:ind w:left="1080" w:hanging="1080"/>
    </w:pPr>
    <w:rPr>
      <w:b/>
      <w:bCs/>
      <w:sz w:val="24"/>
    </w:rPr>
  </w:style>
  <w:style w:type="paragraph" w:customStyle="1" w:styleId="BoxHeading">
    <w:name w:val="BoxHeading"/>
    <w:basedOn w:val="BoxText"/>
    <w:rsid w:val="00CD5AEF"/>
    <w:pPr>
      <w:keepNext/>
      <w:spacing w:before="120" w:after="60"/>
    </w:pPr>
    <w:rPr>
      <w:b/>
      <w:bCs/>
    </w:rPr>
  </w:style>
  <w:style w:type="paragraph" w:customStyle="1" w:styleId="BoxBullet">
    <w:name w:val="BoxBullet"/>
    <w:basedOn w:val="BoxText"/>
    <w:rsid w:val="00CD5AEF"/>
    <w:pPr>
      <w:numPr>
        <w:numId w:val="13"/>
      </w:numPr>
    </w:pPr>
  </w:style>
  <w:style w:type="paragraph" w:customStyle="1" w:styleId="BoxDashManual">
    <w:name w:val="BoxDashManual"/>
    <w:basedOn w:val="BoxText"/>
    <w:rsid w:val="00CD5AEF"/>
    <w:pPr>
      <w:tabs>
        <w:tab w:val="left" w:pos="360"/>
        <w:tab w:val="left" w:pos="720"/>
      </w:tabs>
      <w:ind w:left="720" w:hanging="720"/>
    </w:pPr>
  </w:style>
  <w:style w:type="paragraph" w:customStyle="1" w:styleId="FigureName">
    <w:name w:val="FigureName"/>
    <w:basedOn w:val="FigureNameSpace"/>
    <w:next w:val="Normal"/>
    <w:rsid w:val="00766FF7"/>
    <w:pPr>
      <w:spacing w:after="120"/>
      <w:ind w:left="1077" w:hanging="1077"/>
    </w:pPr>
  </w:style>
  <w:style w:type="paragraph" w:styleId="Index1">
    <w:name w:val="index 1"/>
    <w:basedOn w:val="Normal"/>
    <w:next w:val="Normal"/>
    <w:rsid w:val="00CD5AEF"/>
    <w:pPr>
      <w:spacing w:after="0"/>
      <w:ind w:left="518" w:hanging="518"/>
    </w:pPr>
    <w:rPr>
      <w:noProof/>
      <w:sz w:val="22"/>
    </w:rPr>
  </w:style>
  <w:style w:type="paragraph" w:styleId="Index2">
    <w:name w:val="index 2"/>
    <w:basedOn w:val="Index1"/>
    <w:next w:val="Normal"/>
    <w:rsid w:val="00CD5AEF"/>
    <w:pPr>
      <w:ind w:left="816" w:hanging="476"/>
    </w:pPr>
  </w:style>
  <w:style w:type="paragraph" w:customStyle="1" w:styleId="NumberList">
    <w:name w:val="NumberList"/>
    <w:basedOn w:val="Normal"/>
    <w:rsid w:val="00CD5AEF"/>
    <w:pPr>
      <w:tabs>
        <w:tab w:val="left" w:pos="360"/>
      </w:tabs>
      <w:ind w:left="360" w:hanging="360"/>
    </w:pPr>
  </w:style>
  <w:style w:type="paragraph" w:customStyle="1" w:styleId="TFNoteSourceSpace">
    <w:name w:val="TFNoteSource+Space"/>
    <w:basedOn w:val="TFListNotesSpace"/>
    <w:next w:val="Normal"/>
    <w:rsid w:val="00CD5AEF"/>
  </w:style>
  <w:style w:type="paragraph" w:customStyle="1" w:styleId="TFNoteSource">
    <w:name w:val="TFNoteSource"/>
    <w:basedOn w:val="TFNoteSourceSpace"/>
    <w:rsid w:val="00CD5AEF"/>
    <w:pPr>
      <w:spacing w:after="0"/>
    </w:pPr>
  </w:style>
  <w:style w:type="character" w:customStyle="1" w:styleId="DesignerNotesChar">
    <w:name w:val="DesignerNotesChar"/>
    <w:basedOn w:val="DefaultParagraphFont"/>
    <w:rsid w:val="00CD5AEF"/>
    <w:rPr>
      <w:rFonts w:ascii="Arial" w:hAnsi="Arial"/>
      <w:b/>
      <w:color w:val="3366FF"/>
      <w:sz w:val="20"/>
    </w:rPr>
  </w:style>
  <w:style w:type="paragraph" w:customStyle="1" w:styleId="TFAbbrevsSpace">
    <w:name w:val="TFAbbrevs+Space"/>
    <w:basedOn w:val="TFAbbrevs"/>
    <w:next w:val="Normal"/>
    <w:rsid w:val="00CD5AEF"/>
    <w:pPr>
      <w:spacing w:after="360"/>
    </w:pPr>
  </w:style>
  <w:style w:type="character" w:styleId="Strong">
    <w:name w:val="Strong"/>
    <w:basedOn w:val="DefaultParagraphFont"/>
    <w:uiPriority w:val="22"/>
    <w:qFormat/>
    <w:rsid w:val="00CD5AEF"/>
    <w:rPr>
      <w:b/>
      <w:bCs/>
    </w:rPr>
  </w:style>
  <w:style w:type="character" w:customStyle="1" w:styleId="Roman">
    <w:name w:val="Roman"/>
    <w:uiPriority w:val="1"/>
    <w:rsid w:val="00CD5AEF"/>
    <w:rPr>
      <w:b w:val="0"/>
      <w:i/>
    </w:rPr>
  </w:style>
  <w:style w:type="character" w:customStyle="1" w:styleId="PullQuoteOrigin">
    <w:name w:val="PullQuoteOrigin"/>
    <w:basedOn w:val="DefaultParagraphFont"/>
    <w:uiPriority w:val="1"/>
    <w:rsid w:val="00CD5AEF"/>
    <w:rPr>
      <w:b/>
      <w:noProof/>
      <w:color w:val="7B7B7B" w:themeColor="accent3" w:themeShade="BF"/>
    </w:rPr>
  </w:style>
  <w:style w:type="paragraph" w:customStyle="1" w:styleId="TFIHolderSpace">
    <w:name w:val="TFIHolder+Space"/>
    <w:basedOn w:val="TFIHolder"/>
    <w:qFormat/>
    <w:rsid w:val="00CD5AEF"/>
    <w:pPr>
      <w:spacing w:after="240"/>
    </w:pPr>
  </w:style>
  <w:style w:type="paragraph" w:customStyle="1" w:styleId="DesignerNotes">
    <w:name w:val="DesignerNotes"/>
    <w:basedOn w:val="Normal"/>
    <w:rsid w:val="00CD5AEF"/>
    <w:rPr>
      <w:rFonts w:ascii="Arial" w:hAnsi="Arial"/>
      <w:b/>
      <w:color w:val="3366FF"/>
      <w:sz w:val="20"/>
    </w:rPr>
  </w:style>
  <w:style w:type="character" w:customStyle="1" w:styleId="Subscript">
    <w:name w:val="Subscript"/>
    <w:basedOn w:val="DefaultParagraphFont"/>
    <w:uiPriority w:val="1"/>
    <w:rsid w:val="00CD5AEF"/>
    <w:rPr>
      <w:noProof/>
      <w:vertAlign w:val="subscript"/>
    </w:rPr>
  </w:style>
  <w:style w:type="character" w:customStyle="1" w:styleId="Superscript">
    <w:name w:val="Superscript"/>
    <w:basedOn w:val="DefaultParagraphFont"/>
    <w:uiPriority w:val="1"/>
    <w:rsid w:val="00CD5AEF"/>
    <w:rPr>
      <w:noProof/>
      <w:vertAlign w:val="superscript"/>
    </w:rPr>
  </w:style>
  <w:style w:type="character" w:customStyle="1" w:styleId="Symbol">
    <w:name w:val="Symbol"/>
    <w:basedOn w:val="DefaultParagraphFont"/>
    <w:uiPriority w:val="1"/>
    <w:rsid w:val="00CD5AEF"/>
    <w:rPr>
      <w:noProof/>
    </w:rPr>
  </w:style>
  <w:style w:type="character" w:customStyle="1" w:styleId="NoBreak">
    <w:name w:val="NoBreak"/>
    <w:basedOn w:val="DefaultParagraphFont"/>
    <w:uiPriority w:val="1"/>
    <w:rsid w:val="00CD5AEF"/>
    <w:rPr>
      <w:noProof/>
    </w:rPr>
  </w:style>
  <w:style w:type="paragraph" w:customStyle="1" w:styleId="MathEquation">
    <w:name w:val="MathEquation"/>
    <w:basedOn w:val="Normal"/>
    <w:rsid w:val="00CD5AEF"/>
    <w:rPr>
      <w:rFonts w:ascii="Cambria Math" w:hAnsi="Cambria Math"/>
      <w:i/>
      <w:noProof/>
    </w:rPr>
  </w:style>
  <w:style w:type="paragraph" w:customStyle="1" w:styleId="ComputerCode">
    <w:name w:val="ComputerCode"/>
    <w:basedOn w:val="Normal"/>
    <w:rsid w:val="00CD5AEF"/>
    <w:pPr>
      <w:ind w:left="567"/>
      <w:contextualSpacing/>
    </w:pPr>
    <w:rPr>
      <w:rFonts w:ascii="Courier New" w:hAnsi="Courier New"/>
      <w:color w:val="auto"/>
      <w:sz w:val="20"/>
      <w:szCs w:val="24"/>
    </w:rPr>
  </w:style>
  <w:style w:type="paragraph" w:customStyle="1" w:styleId="BulletChecklist">
    <w:name w:val="BulletChecklist"/>
    <w:basedOn w:val="Bullet"/>
    <w:rsid w:val="00CD5AEF"/>
    <w:pPr>
      <w:numPr>
        <w:numId w:val="11"/>
      </w:numPr>
    </w:pPr>
    <w:rPr>
      <w:noProof/>
    </w:rPr>
  </w:style>
  <w:style w:type="paragraph" w:customStyle="1" w:styleId="ImprintText">
    <w:name w:val="ImprintText"/>
    <w:basedOn w:val="Normal"/>
    <w:rsid w:val="00CD5AEF"/>
    <w:pPr>
      <w:spacing w:after="120"/>
    </w:pPr>
    <w:rPr>
      <w:sz w:val="20"/>
    </w:rPr>
  </w:style>
  <w:style w:type="paragraph" w:customStyle="1" w:styleId="AltText">
    <w:name w:val="AltText"/>
    <w:basedOn w:val="Normal"/>
    <w:rsid w:val="00CD5AEF"/>
    <w:rPr>
      <w:rFonts w:ascii="Arial" w:hAnsi="Arial"/>
      <w:color w:val="538135" w:themeColor="accent6" w:themeShade="BF"/>
      <w:sz w:val="20"/>
    </w:rPr>
  </w:style>
  <w:style w:type="paragraph" w:customStyle="1" w:styleId="Credit">
    <w:name w:val="Credit"/>
    <w:basedOn w:val="Caption"/>
    <w:next w:val="Normal"/>
    <w:rsid w:val="00CD5AEF"/>
    <w:pPr>
      <w:spacing w:after="240"/>
    </w:pPr>
    <w:rPr>
      <w:b w:val="0"/>
      <w:noProof/>
    </w:rPr>
  </w:style>
  <w:style w:type="paragraph" w:customStyle="1" w:styleId="NormalFirstPara">
    <w:name w:val="NormalFirstPara"/>
    <w:basedOn w:val="Normal"/>
    <w:rsid w:val="00CD5AEF"/>
    <w:rPr>
      <w:noProof/>
      <w:color w:val="A5A5A5" w:themeColor="accent3"/>
    </w:rPr>
  </w:style>
  <w:style w:type="paragraph" w:customStyle="1" w:styleId="TableHeadingCA">
    <w:name w:val="TableHeadingCA"/>
    <w:basedOn w:val="TableHeading"/>
    <w:rsid w:val="00CD5AEF"/>
    <w:pPr>
      <w:jc w:val="center"/>
    </w:pPr>
  </w:style>
  <w:style w:type="paragraph" w:customStyle="1" w:styleId="TableTextCA">
    <w:name w:val="TableTextCA"/>
    <w:basedOn w:val="TableText0"/>
    <w:rsid w:val="00CD5AEF"/>
    <w:pPr>
      <w:jc w:val="center"/>
    </w:pPr>
  </w:style>
  <w:style w:type="paragraph" w:customStyle="1" w:styleId="TableTextDecimalAlign">
    <w:name w:val="TableTextDecimalAlign"/>
    <w:basedOn w:val="TableText0"/>
    <w:rsid w:val="00CD5AEF"/>
    <w:pPr>
      <w:tabs>
        <w:tab w:val="decimal" w:pos="1119"/>
      </w:tabs>
    </w:pPr>
  </w:style>
  <w:style w:type="paragraph" w:customStyle="1" w:styleId="NormalIndent">
    <w:name w:val="NormalIndent"/>
    <w:basedOn w:val="Normal"/>
    <w:rsid w:val="00CD5AEF"/>
    <w:pPr>
      <w:ind w:left="357"/>
    </w:pPr>
  </w:style>
  <w:style w:type="paragraph" w:customStyle="1" w:styleId="SectionTitle">
    <w:name w:val="SectionTitle"/>
    <w:basedOn w:val="Normal"/>
    <w:next w:val="Normal"/>
    <w:rsid w:val="00766FF7"/>
    <w:pPr>
      <w:pageBreakBefore/>
      <w:jc w:val="center"/>
    </w:pPr>
    <w:rPr>
      <w:b/>
      <w:sz w:val="40"/>
    </w:rPr>
  </w:style>
  <w:style w:type="paragraph" w:customStyle="1" w:styleId="SectionSubtitle">
    <w:name w:val="SectionSubtitle"/>
    <w:basedOn w:val="Normal"/>
    <w:rsid w:val="00CD5AEF"/>
    <w:pPr>
      <w:spacing w:after="0"/>
      <w:jc w:val="center"/>
    </w:pPr>
    <w:rPr>
      <w:sz w:val="32"/>
    </w:rPr>
  </w:style>
  <w:style w:type="paragraph" w:customStyle="1" w:styleId="QuoteNumberList">
    <w:name w:val="QuoteNumberList"/>
    <w:basedOn w:val="Quote"/>
    <w:rsid w:val="00CD5AEF"/>
    <w:pPr>
      <w:ind w:left="1117" w:hanging="397"/>
    </w:pPr>
    <w:rPr>
      <w:noProof/>
    </w:rPr>
  </w:style>
  <w:style w:type="paragraph" w:customStyle="1" w:styleId="QuoteBullet">
    <w:name w:val="QuoteBullet"/>
    <w:basedOn w:val="Quote"/>
    <w:rsid w:val="00CD5AEF"/>
    <w:pPr>
      <w:numPr>
        <w:numId w:val="12"/>
      </w:numPr>
      <w:ind w:left="1117" w:hanging="397"/>
    </w:pPr>
    <w:rPr>
      <w:noProof/>
    </w:rPr>
  </w:style>
  <w:style w:type="paragraph" w:customStyle="1" w:styleId="BoxDash">
    <w:name w:val="BoxDash"/>
    <w:basedOn w:val="BoxBullet"/>
    <w:rsid w:val="00CD5AEF"/>
    <w:pPr>
      <w:numPr>
        <w:numId w:val="10"/>
      </w:numPr>
    </w:pPr>
  </w:style>
  <w:style w:type="character" w:customStyle="1" w:styleId="CrossRef">
    <w:name w:val="CrossRef"/>
    <w:basedOn w:val="DefaultParagraphFont"/>
    <w:uiPriority w:val="1"/>
    <w:rsid w:val="00CD5AEF"/>
    <w:rPr>
      <w:rFonts w:ascii="Times New Roman" w:hAnsi="Times New Roman"/>
      <w:b/>
      <w:noProof/>
      <w:color w:val="ED7D31" w:themeColor="accent2"/>
      <w:sz w:val="24"/>
    </w:rPr>
  </w:style>
  <w:style w:type="paragraph" w:customStyle="1" w:styleId="TableNumberedList">
    <w:name w:val="TableNumberedList"/>
    <w:basedOn w:val="TableText0"/>
    <w:autoRedefine/>
    <w:qFormat/>
    <w:rsid w:val="00CD5AEF"/>
    <w:pPr>
      <w:numPr>
        <w:numId w:val="14"/>
      </w:numPr>
      <w:ind w:left="357" w:hanging="357"/>
    </w:pPr>
  </w:style>
  <w:style w:type="character" w:customStyle="1" w:styleId="StrongEmphasis">
    <w:name w:val="StrongEmphasis"/>
    <w:basedOn w:val="DefaultParagraphFont"/>
    <w:rsid w:val="00CD5AEF"/>
    <w:rPr>
      <w:b/>
      <w:bCs/>
      <w:i/>
      <w:iCs/>
    </w:rPr>
  </w:style>
  <w:style w:type="character" w:customStyle="1" w:styleId="MathEquationChar">
    <w:name w:val="MathEquationChar"/>
    <w:basedOn w:val="DefaultParagraphFont"/>
    <w:uiPriority w:val="1"/>
    <w:rsid w:val="00CD5AEF"/>
    <w:rPr>
      <w:rFonts w:ascii="Cambria Math" w:hAnsi="Cambria Math"/>
      <w:noProof/>
    </w:rPr>
  </w:style>
  <w:style w:type="character" w:customStyle="1" w:styleId="SubscriptEmphasis">
    <w:name w:val="SubscriptEmphasis"/>
    <w:basedOn w:val="DefaultParagraphFont"/>
    <w:uiPriority w:val="1"/>
    <w:rsid w:val="00CD5AEF"/>
    <w:rPr>
      <w:i/>
      <w:noProof/>
      <w:vertAlign w:val="subscript"/>
    </w:rPr>
  </w:style>
  <w:style w:type="character" w:customStyle="1" w:styleId="apple-converted-space">
    <w:name w:val="apple-converted-space"/>
    <w:rsid w:val="004B3407"/>
  </w:style>
  <w:style w:type="character" w:customStyle="1" w:styleId="UnresolvedMention4">
    <w:name w:val="Unresolved Mention4"/>
    <w:basedOn w:val="DefaultParagraphFont"/>
    <w:uiPriority w:val="99"/>
    <w:semiHidden/>
    <w:unhideWhenUsed/>
    <w:rsid w:val="00862003"/>
    <w:rPr>
      <w:color w:val="605E5C"/>
      <w:shd w:val="clear" w:color="auto" w:fill="E1DFDD"/>
    </w:rPr>
  </w:style>
  <w:style w:type="character" w:styleId="UnresolvedMention">
    <w:name w:val="Unresolved Mention"/>
    <w:basedOn w:val="DefaultParagraphFont"/>
    <w:uiPriority w:val="99"/>
    <w:semiHidden/>
    <w:unhideWhenUsed/>
    <w:rsid w:val="007071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02903">
      <w:bodyDiv w:val="1"/>
      <w:marLeft w:val="0"/>
      <w:marRight w:val="0"/>
      <w:marTop w:val="0"/>
      <w:marBottom w:val="0"/>
      <w:divBdr>
        <w:top w:val="none" w:sz="0" w:space="0" w:color="auto"/>
        <w:left w:val="none" w:sz="0" w:space="0" w:color="auto"/>
        <w:bottom w:val="none" w:sz="0" w:space="0" w:color="auto"/>
        <w:right w:val="none" w:sz="0" w:space="0" w:color="auto"/>
      </w:divBdr>
    </w:div>
    <w:div w:id="45420930">
      <w:bodyDiv w:val="1"/>
      <w:marLeft w:val="0"/>
      <w:marRight w:val="0"/>
      <w:marTop w:val="0"/>
      <w:marBottom w:val="0"/>
      <w:divBdr>
        <w:top w:val="none" w:sz="0" w:space="0" w:color="auto"/>
        <w:left w:val="none" w:sz="0" w:space="0" w:color="auto"/>
        <w:bottom w:val="none" w:sz="0" w:space="0" w:color="auto"/>
        <w:right w:val="none" w:sz="0" w:space="0" w:color="auto"/>
      </w:divBdr>
    </w:div>
    <w:div w:id="234047294">
      <w:bodyDiv w:val="1"/>
      <w:marLeft w:val="0"/>
      <w:marRight w:val="0"/>
      <w:marTop w:val="0"/>
      <w:marBottom w:val="0"/>
      <w:divBdr>
        <w:top w:val="none" w:sz="0" w:space="0" w:color="auto"/>
        <w:left w:val="none" w:sz="0" w:space="0" w:color="auto"/>
        <w:bottom w:val="none" w:sz="0" w:space="0" w:color="auto"/>
        <w:right w:val="none" w:sz="0" w:space="0" w:color="auto"/>
      </w:divBdr>
    </w:div>
    <w:div w:id="332268453">
      <w:bodyDiv w:val="1"/>
      <w:marLeft w:val="0"/>
      <w:marRight w:val="0"/>
      <w:marTop w:val="0"/>
      <w:marBottom w:val="0"/>
      <w:divBdr>
        <w:top w:val="none" w:sz="0" w:space="0" w:color="auto"/>
        <w:left w:val="none" w:sz="0" w:space="0" w:color="auto"/>
        <w:bottom w:val="none" w:sz="0" w:space="0" w:color="auto"/>
        <w:right w:val="none" w:sz="0" w:space="0" w:color="auto"/>
      </w:divBdr>
    </w:div>
    <w:div w:id="1041982915">
      <w:bodyDiv w:val="1"/>
      <w:marLeft w:val="0"/>
      <w:marRight w:val="0"/>
      <w:marTop w:val="0"/>
      <w:marBottom w:val="0"/>
      <w:divBdr>
        <w:top w:val="none" w:sz="0" w:space="0" w:color="auto"/>
        <w:left w:val="none" w:sz="0" w:space="0" w:color="auto"/>
        <w:bottom w:val="none" w:sz="0" w:space="0" w:color="auto"/>
        <w:right w:val="none" w:sz="0" w:space="0" w:color="auto"/>
      </w:divBdr>
    </w:div>
    <w:div w:id="1379627324">
      <w:bodyDiv w:val="1"/>
      <w:marLeft w:val="0"/>
      <w:marRight w:val="0"/>
      <w:marTop w:val="0"/>
      <w:marBottom w:val="0"/>
      <w:divBdr>
        <w:top w:val="none" w:sz="0" w:space="0" w:color="auto"/>
        <w:left w:val="none" w:sz="0" w:space="0" w:color="auto"/>
        <w:bottom w:val="none" w:sz="0" w:space="0" w:color="auto"/>
        <w:right w:val="none" w:sz="0" w:space="0" w:color="auto"/>
      </w:divBdr>
    </w:div>
    <w:div w:id="1564290095">
      <w:bodyDiv w:val="1"/>
      <w:marLeft w:val="0"/>
      <w:marRight w:val="0"/>
      <w:marTop w:val="0"/>
      <w:marBottom w:val="0"/>
      <w:divBdr>
        <w:top w:val="none" w:sz="0" w:space="0" w:color="auto"/>
        <w:left w:val="none" w:sz="0" w:space="0" w:color="auto"/>
        <w:bottom w:val="none" w:sz="0" w:space="0" w:color="auto"/>
        <w:right w:val="none" w:sz="0" w:space="0" w:color="auto"/>
      </w:divBdr>
    </w:div>
    <w:div w:id="1586723655">
      <w:bodyDiv w:val="1"/>
      <w:marLeft w:val="0"/>
      <w:marRight w:val="0"/>
      <w:marTop w:val="0"/>
      <w:marBottom w:val="0"/>
      <w:divBdr>
        <w:top w:val="none" w:sz="0" w:space="0" w:color="auto"/>
        <w:left w:val="none" w:sz="0" w:space="0" w:color="auto"/>
        <w:bottom w:val="none" w:sz="0" w:space="0" w:color="auto"/>
        <w:right w:val="none" w:sz="0" w:space="0" w:color="auto"/>
      </w:divBdr>
    </w:div>
    <w:div w:id="1622299065">
      <w:bodyDiv w:val="1"/>
      <w:marLeft w:val="0"/>
      <w:marRight w:val="0"/>
      <w:marTop w:val="0"/>
      <w:marBottom w:val="0"/>
      <w:divBdr>
        <w:top w:val="none" w:sz="0" w:space="0" w:color="auto"/>
        <w:left w:val="none" w:sz="0" w:space="0" w:color="auto"/>
        <w:bottom w:val="none" w:sz="0" w:space="0" w:color="auto"/>
        <w:right w:val="none" w:sz="0" w:space="0" w:color="auto"/>
      </w:divBdr>
      <w:divsChild>
        <w:div w:id="854997972">
          <w:marLeft w:val="0"/>
          <w:marRight w:val="0"/>
          <w:marTop w:val="0"/>
          <w:marBottom w:val="0"/>
          <w:divBdr>
            <w:top w:val="none" w:sz="0" w:space="0" w:color="auto"/>
            <w:left w:val="none" w:sz="0" w:space="0" w:color="auto"/>
            <w:bottom w:val="none" w:sz="0" w:space="0" w:color="auto"/>
            <w:right w:val="none" w:sz="0" w:space="0" w:color="auto"/>
          </w:divBdr>
          <w:divsChild>
            <w:div w:id="1980182246">
              <w:marLeft w:val="0"/>
              <w:marRight w:val="0"/>
              <w:marTop w:val="0"/>
              <w:marBottom w:val="0"/>
              <w:divBdr>
                <w:top w:val="none" w:sz="0" w:space="0" w:color="auto"/>
                <w:left w:val="none" w:sz="0" w:space="0" w:color="auto"/>
                <w:bottom w:val="none" w:sz="0" w:space="0" w:color="auto"/>
                <w:right w:val="none" w:sz="0" w:space="0" w:color="auto"/>
              </w:divBdr>
              <w:divsChild>
                <w:div w:id="35469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246438">
      <w:bodyDiv w:val="1"/>
      <w:marLeft w:val="0"/>
      <w:marRight w:val="0"/>
      <w:marTop w:val="0"/>
      <w:marBottom w:val="0"/>
      <w:divBdr>
        <w:top w:val="none" w:sz="0" w:space="0" w:color="auto"/>
        <w:left w:val="none" w:sz="0" w:space="0" w:color="auto"/>
        <w:bottom w:val="none" w:sz="0" w:space="0" w:color="auto"/>
        <w:right w:val="none" w:sz="0" w:space="0" w:color="auto"/>
      </w:divBdr>
    </w:div>
    <w:div w:id="1679697875">
      <w:bodyDiv w:val="1"/>
      <w:marLeft w:val="0"/>
      <w:marRight w:val="0"/>
      <w:marTop w:val="0"/>
      <w:marBottom w:val="0"/>
      <w:divBdr>
        <w:top w:val="none" w:sz="0" w:space="0" w:color="auto"/>
        <w:left w:val="none" w:sz="0" w:space="0" w:color="auto"/>
        <w:bottom w:val="none" w:sz="0" w:space="0" w:color="auto"/>
        <w:right w:val="none" w:sz="0" w:space="0" w:color="auto"/>
      </w:divBdr>
    </w:div>
    <w:div w:id="1717243947">
      <w:bodyDiv w:val="1"/>
      <w:marLeft w:val="0"/>
      <w:marRight w:val="0"/>
      <w:marTop w:val="0"/>
      <w:marBottom w:val="0"/>
      <w:divBdr>
        <w:top w:val="none" w:sz="0" w:space="0" w:color="auto"/>
        <w:left w:val="none" w:sz="0" w:space="0" w:color="auto"/>
        <w:bottom w:val="none" w:sz="0" w:space="0" w:color="auto"/>
        <w:right w:val="none" w:sz="0" w:space="0" w:color="auto"/>
      </w:divBdr>
      <w:divsChild>
        <w:div w:id="140852012">
          <w:marLeft w:val="0"/>
          <w:marRight w:val="0"/>
          <w:marTop w:val="0"/>
          <w:marBottom w:val="0"/>
          <w:divBdr>
            <w:top w:val="none" w:sz="0" w:space="0" w:color="auto"/>
            <w:left w:val="none" w:sz="0" w:space="0" w:color="auto"/>
            <w:bottom w:val="none" w:sz="0" w:space="0" w:color="auto"/>
            <w:right w:val="none" w:sz="0" w:space="0" w:color="auto"/>
          </w:divBdr>
          <w:divsChild>
            <w:div w:id="875237614">
              <w:blockQuote w:val="1"/>
              <w:marLeft w:val="400"/>
              <w:marRight w:val="0"/>
              <w:marTop w:val="160"/>
              <w:marBottom w:val="200"/>
              <w:divBdr>
                <w:top w:val="none" w:sz="0" w:space="0" w:color="auto"/>
                <w:left w:val="none" w:sz="0" w:space="0" w:color="auto"/>
                <w:bottom w:val="none" w:sz="0" w:space="0" w:color="auto"/>
                <w:right w:val="none" w:sz="0" w:space="0" w:color="auto"/>
              </w:divBdr>
            </w:div>
          </w:divsChild>
        </w:div>
        <w:div w:id="976103556">
          <w:marLeft w:val="0"/>
          <w:marRight w:val="0"/>
          <w:marTop w:val="0"/>
          <w:marBottom w:val="0"/>
          <w:divBdr>
            <w:top w:val="none" w:sz="0" w:space="0" w:color="auto"/>
            <w:left w:val="none" w:sz="0" w:space="0" w:color="auto"/>
            <w:bottom w:val="none" w:sz="0" w:space="0" w:color="auto"/>
            <w:right w:val="none" w:sz="0" w:space="0" w:color="auto"/>
          </w:divBdr>
          <w:divsChild>
            <w:div w:id="758254624">
              <w:blockQuote w:val="1"/>
              <w:marLeft w:val="400"/>
              <w:marRight w:val="0"/>
              <w:marTop w:val="160"/>
              <w:marBottom w:val="200"/>
              <w:divBdr>
                <w:top w:val="none" w:sz="0" w:space="0" w:color="auto"/>
                <w:left w:val="none" w:sz="0" w:space="0" w:color="auto"/>
                <w:bottom w:val="none" w:sz="0" w:space="0" w:color="auto"/>
                <w:right w:val="none" w:sz="0" w:space="0" w:color="auto"/>
              </w:divBdr>
            </w:div>
          </w:divsChild>
        </w:div>
      </w:divsChild>
    </w:div>
    <w:div w:id="2126345898">
      <w:bodyDiv w:val="1"/>
      <w:marLeft w:val="0"/>
      <w:marRight w:val="0"/>
      <w:marTop w:val="0"/>
      <w:marBottom w:val="0"/>
      <w:divBdr>
        <w:top w:val="none" w:sz="0" w:space="0" w:color="auto"/>
        <w:left w:val="none" w:sz="0" w:space="0" w:color="auto"/>
        <w:bottom w:val="none" w:sz="0" w:space="0" w:color="auto"/>
        <w:right w:val="none" w:sz="0" w:space="0" w:color="auto"/>
      </w:divBdr>
      <w:divsChild>
        <w:div w:id="1816099268">
          <w:marLeft w:val="0"/>
          <w:marRight w:val="0"/>
          <w:marTop w:val="0"/>
          <w:marBottom w:val="0"/>
          <w:divBdr>
            <w:top w:val="none" w:sz="0" w:space="0" w:color="auto"/>
            <w:left w:val="none" w:sz="0" w:space="0" w:color="auto"/>
            <w:bottom w:val="none" w:sz="0" w:space="0" w:color="auto"/>
            <w:right w:val="none" w:sz="0" w:space="0" w:color="auto"/>
          </w:divBdr>
          <w:divsChild>
            <w:div w:id="73086482">
              <w:marLeft w:val="0"/>
              <w:marRight w:val="0"/>
              <w:marTop w:val="0"/>
              <w:marBottom w:val="0"/>
              <w:divBdr>
                <w:top w:val="none" w:sz="0" w:space="0" w:color="auto"/>
                <w:left w:val="none" w:sz="0" w:space="0" w:color="auto"/>
                <w:bottom w:val="none" w:sz="0" w:space="0" w:color="auto"/>
                <w:right w:val="none" w:sz="0" w:space="0" w:color="auto"/>
              </w:divBdr>
              <w:divsChild>
                <w:div w:id="56021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ldlifehealthaustralia.com.au/Resources.aspx" TargetMode="External"/><Relationship Id="rId18" Type="http://schemas.openxmlformats.org/officeDocument/2006/relationships/image" Target="media/image3.PNG"/><Relationship Id="rId26" Type="http://schemas.openxmlformats.org/officeDocument/2006/relationships/hyperlink" Target="file:///\\Bt-2012r2-svr\GROUPS\01-Projects\01-Projects%20-%20Active\18-095-WILDRESPONSE\Edit\www.animalhealthaustralia.com.au" TargetMode="External"/><Relationship Id="rId3" Type="http://schemas.openxmlformats.org/officeDocument/2006/relationships/styles" Target="styles.xml"/><Relationship Id="rId21" Type="http://schemas.openxmlformats.org/officeDocument/2006/relationships/image" Target="media/image5.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wildlifehealthaustralia.com.au/WHADocuments.aspx" TargetMode="External"/><Relationship Id="rId17" Type="http://schemas.openxmlformats.org/officeDocument/2006/relationships/image" Target="media/image2.PNG"/><Relationship Id="rId25" Type="http://schemas.openxmlformats.org/officeDocument/2006/relationships/hyperlink" Target="file:///\\Bt-2012r2-svr\GROUPS\01-Projects\01-Projects%20-%20Active\18-095-WILDRESPONSE\Edit\www.wildlifehealthaustralia.com.au"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image" Target="media/image4.emf"/><Relationship Id="rId29" Type="http://schemas.openxmlformats.org/officeDocument/2006/relationships/hyperlink" Target="file:///\\Bt-2012r2-svr\GROUPS\01-Projects\01-Projects%20-%20Active\18-095-WILDRESPONSE\Edit\www.nhmrc.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agriculture.gov.au/biosecurity/partnerships/nbc/nbepeg"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dpi.nsw.gov.au/climate-and-emergencies/emergency/management/resources-and-publications" TargetMode="External"/><Relationship Id="rId23" Type="http://schemas.openxmlformats.org/officeDocument/2006/relationships/hyperlink" Target="http://www.outbreak.gov.au" TargetMode="External"/><Relationship Id="rId28" Type="http://schemas.openxmlformats.org/officeDocument/2006/relationships/hyperlink" Target="https://www.animalhealthaustralia.com.au/emergency-animal-disease-training-program" TargetMode="External"/><Relationship Id="rId10" Type="http://schemas.openxmlformats.org/officeDocument/2006/relationships/header" Target="header1.xml"/><Relationship Id="rId19" Type="http://schemas.openxmlformats.org/officeDocument/2006/relationships/hyperlink" Target="http://www.nata.com.au/nata/" TargetMode="External"/><Relationship Id="rId31" Type="http://schemas.openxmlformats.org/officeDocument/2006/relationships/hyperlink" Target="http://www.environment.gov.au" TargetMode="External"/><Relationship Id="rId4" Type="http://schemas.openxmlformats.org/officeDocument/2006/relationships/settings" Target="settings.xml"/><Relationship Id="rId9" Type="http://schemas.openxmlformats.org/officeDocument/2006/relationships/hyperlink" Target="mailto:admin@wildlifehealthaustralia.com.au" TargetMode="External"/><Relationship Id="rId14" Type="http://schemas.openxmlformats.org/officeDocument/2006/relationships/hyperlink" Target="http://www.agriculture.gov.au/biosecurity/partnerships/nbc/nbepeg/nasops" TargetMode="External"/><Relationship Id="rId22" Type="http://schemas.openxmlformats.org/officeDocument/2006/relationships/hyperlink" Target="http://www.outbreak.gov.au" TargetMode="External"/><Relationship Id="rId27" Type="http://schemas.openxmlformats.org/officeDocument/2006/relationships/hyperlink" Target="https://www.animalhealthaustralia.com.au/our-publications/corporate-publications/annual-reports" TargetMode="External"/><Relationship Id="rId30" Type="http://schemas.openxmlformats.org/officeDocument/2006/relationships/hyperlink" Target="file:///\\Bt-2012r2-svr\GROUPS\01-Projects\01-Projects%20-%20Active\18-095-WILDRESPONSE\Edit\www.ala.org.au" TargetMode="External"/><Relationship Id="rId35" Type="http://schemas.openxmlformats.org/officeDocument/2006/relationships/theme" Target="theme/theme1.xml"/><Relationship Id="rId8" Type="http://schemas.openxmlformats.org/officeDocument/2006/relationships/hyperlink" Target="mailto:admin@wildlifehealthaustralia.com.a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02-Project%20resources\03-Templates%20and%20forms\01-Word%20templates\BT_basic(10May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BD40B2-4B87-9547-9244-101768F2F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G:\02-Project resources\03-Templates and forms\01-Word templates\BT_basic(10May18).dotx</Template>
  <TotalTime>1</TotalTime>
  <Pages>45</Pages>
  <Words>27375</Words>
  <Characters>156039</Characters>
  <Application>Microsoft Office Word</Application>
  <DocSecurity>0</DocSecurity>
  <Lines>1300</Lines>
  <Paragraphs>366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cooperk</dc:creator>
  <cp:lastModifiedBy>Keren Cox-Witton</cp:lastModifiedBy>
  <cp:revision>3</cp:revision>
  <cp:lastPrinted>2018-10-02T23:38:00Z</cp:lastPrinted>
  <dcterms:created xsi:type="dcterms:W3CDTF">2018-11-19T23:16:00Z</dcterms:created>
  <dcterms:modified xsi:type="dcterms:W3CDTF">2019-02-01T02:22:00Z</dcterms:modified>
</cp:coreProperties>
</file>